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44794" w14:textId="605E3F04" w:rsidR="00FD3A85" w:rsidRPr="00D5133A" w:rsidRDefault="00C40B79">
      <w:pPr>
        <w:rPr>
          <w:rFonts w:asciiTheme="minorHAnsi" w:hAnsiTheme="minorHAnsi" w:cstheme="minorHAnsi"/>
          <w:b/>
          <w:bCs/>
          <w:sz w:val="32"/>
          <w:szCs w:val="32"/>
        </w:rPr>
      </w:pPr>
      <w:r>
        <w:rPr>
          <w:rFonts w:asciiTheme="minorHAnsi" w:hAnsiTheme="minorHAnsi" w:cstheme="minorHAnsi"/>
          <w:b/>
          <w:bCs/>
          <w:sz w:val="32"/>
          <w:szCs w:val="32"/>
        </w:rPr>
        <w:t xml:space="preserve">Oxfordshire </w:t>
      </w:r>
      <w:r w:rsidR="00D5133A" w:rsidRPr="00D5133A">
        <w:rPr>
          <w:rFonts w:asciiTheme="minorHAnsi" w:hAnsiTheme="minorHAnsi" w:cstheme="minorHAnsi"/>
          <w:b/>
          <w:bCs/>
          <w:sz w:val="32"/>
          <w:szCs w:val="32"/>
        </w:rPr>
        <w:t>Complex C</w:t>
      </w:r>
      <w:r>
        <w:rPr>
          <w:rFonts w:asciiTheme="minorHAnsi" w:hAnsiTheme="minorHAnsi" w:cstheme="minorHAnsi"/>
          <w:b/>
          <w:bCs/>
          <w:sz w:val="32"/>
          <w:szCs w:val="32"/>
        </w:rPr>
        <w:t>hild</w:t>
      </w:r>
      <w:r w:rsidR="00D5133A" w:rsidRPr="00D5133A">
        <w:rPr>
          <w:rFonts w:asciiTheme="minorHAnsi" w:hAnsiTheme="minorHAnsi" w:cstheme="minorHAnsi"/>
          <w:b/>
          <w:bCs/>
          <w:sz w:val="32"/>
          <w:szCs w:val="32"/>
        </w:rPr>
        <w:t xml:space="preserve"> Panel</w:t>
      </w:r>
      <w:r>
        <w:rPr>
          <w:rFonts w:asciiTheme="minorHAnsi" w:hAnsiTheme="minorHAnsi" w:cstheme="minorHAnsi"/>
          <w:b/>
          <w:bCs/>
          <w:sz w:val="32"/>
          <w:szCs w:val="32"/>
        </w:rPr>
        <w:t>: Terms of Reference</w:t>
      </w:r>
    </w:p>
    <w:p w14:paraId="394BAE53" w14:textId="276B864A" w:rsidR="00D5133A" w:rsidRDefault="00D5133A"/>
    <w:p w14:paraId="41606B7A" w14:textId="77777777" w:rsidR="00D5133A" w:rsidRPr="00D5133A" w:rsidRDefault="00D5133A" w:rsidP="00D5133A">
      <w:pPr>
        <w:pBdr>
          <w:bottom w:val="single" w:sz="6" w:space="0" w:color="439CB1"/>
        </w:pBdr>
        <w:outlineLvl w:val="2"/>
        <w:rPr>
          <w:rFonts w:ascii="Calibri" w:eastAsia="Times New Roman" w:hAnsi="Calibri" w:cs="Calibri"/>
          <w:b/>
          <w:bCs/>
          <w:color w:val="000000"/>
          <w:sz w:val="31"/>
          <w:szCs w:val="31"/>
          <w:lang w:eastAsia="en-GB"/>
        </w:rPr>
      </w:pPr>
      <w:r w:rsidRPr="00D5133A">
        <w:rPr>
          <w:rFonts w:ascii="Calibri" w:eastAsia="Times New Roman" w:hAnsi="Calibri" w:cs="Calibri"/>
          <w:b/>
          <w:bCs/>
          <w:color w:val="000000"/>
          <w:sz w:val="31"/>
          <w:szCs w:val="31"/>
          <w:lang w:eastAsia="en-GB"/>
        </w:rPr>
        <w:t>Contents</w:t>
      </w:r>
    </w:p>
    <w:p w14:paraId="2B08031C" w14:textId="77777777" w:rsidR="00D5133A" w:rsidRPr="00D5133A" w:rsidRDefault="00BD1E87" w:rsidP="00D5133A">
      <w:pPr>
        <w:numPr>
          <w:ilvl w:val="0"/>
          <w:numId w:val="1"/>
        </w:numPr>
        <w:spacing w:before="150" w:after="100" w:afterAutospacing="1"/>
        <w:rPr>
          <w:rFonts w:ascii="Calibri" w:eastAsia="Times New Roman" w:hAnsi="Calibri" w:cs="Calibri"/>
          <w:color w:val="000000"/>
          <w:sz w:val="27"/>
          <w:szCs w:val="27"/>
          <w:lang w:eastAsia="en-GB"/>
        </w:rPr>
      </w:pPr>
      <w:hyperlink r:id="rId7" w:anchor="intro" w:history="1">
        <w:r w:rsidR="00D5133A" w:rsidRPr="00D5133A">
          <w:rPr>
            <w:rFonts w:ascii="Calibri" w:eastAsia="Times New Roman" w:hAnsi="Calibri" w:cs="Calibri"/>
            <w:b/>
            <w:bCs/>
            <w:color w:val="253E8A"/>
            <w:sz w:val="27"/>
            <w:szCs w:val="27"/>
            <w:u w:val="single"/>
            <w:lang w:eastAsia="en-GB"/>
          </w:rPr>
          <w:t>Introduction</w:t>
        </w:r>
      </w:hyperlink>
    </w:p>
    <w:p w14:paraId="65B67C38" w14:textId="1C358F60" w:rsidR="00D5133A" w:rsidRPr="00D5133A" w:rsidRDefault="00BD1E87" w:rsidP="00D5133A">
      <w:pPr>
        <w:numPr>
          <w:ilvl w:val="0"/>
          <w:numId w:val="1"/>
        </w:numPr>
        <w:spacing w:before="150" w:after="100" w:afterAutospacing="1"/>
        <w:rPr>
          <w:rFonts w:ascii="Calibri" w:eastAsia="Times New Roman" w:hAnsi="Calibri" w:cs="Calibri"/>
          <w:color w:val="000000"/>
          <w:sz w:val="27"/>
          <w:szCs w:val="27"/>
          <w:lang w:eastAsia="en-GB"/>
        </w:rPr>
      </w:pPr>
      <w:hyperlink r:id="rId8" w:anchor="goverance" w:history="1">
        <w:r w:rsidR="00D5133A" w:rsidRPr="00D5133A">
          <w:rPr>
            <w:rFonts w:ascii="Calibri" w:eastAsia="Times New Roman" w:hAnsi="Calibri" w:cs="Calibri"/>
            <w:b/>
            <w:bCs/>
            <w:color w:val="253E8A"/>
            <w:sz w:val="27"/>
            <w:szCs w:val="27"/>
            <w:u w:val="single"/>
            <w:lang w:eastAsia="en-GB"/>
          </w:rPr>
          <w:t xml:space="preserve">Governance </w:t>
        </w:r>
        <w:r w:rsidR="00B028BC">
          <w:rPr>
            <w:rFonts w:ascii="Calibri" w:eastAsia="Times New Roman" w:hAnsi="Calibri" w:cs="Calibri"/>
            <w:b/>
            <w:bCs/>
            <w:color w:val="253E8A"/>
            <w:sz w:val="27"/>
            <w:szCs w:val="27"/>
            <w:u w:val="single"/>
            <w:lang w:eastAsia="en-GB"/>
          </w:rPr>
          <w:t>a</w:t>
        </w:r>
        <w:r w:rsidR="00D5133A" w:rsidRPr="00D5133A">
          <w:rPr>
            <w:rFonts w:ascii="Calibri" w:eastAsia="Times New Roman" w:hAnsi="Calibri" w:cs="Calibri"/>
            <w:b/>
            <w:bCs/>
            <w:color w:val="253E8A"/>
            <w:sz w:val="27"/>
            <w:szCs w:val="27"/>
            <w:u w:val="single"/>
            <w:lang w:eastAsia="en-GB"/>
          </w:rPr>
          <w:t>rrangements</w:t>
        </w:r>
      </w:hyperlink>
    </w:p>
    <w:p w14:paraId="24C86EC0" w14:textId="77777777" w:rsidR="00D5133A" w:rsidRPr="00D5133A" w:rsidRDefault="00BD1E87" w:rsidP="00D5133A">
      <w:pPr>
        <w:numPr>
          <w:ilvl w:val="0"/>
          <w:numId w:val="1"/>
        </w:numPr>
        <w:spacing w:before="150" w:after="100" w:afterAutospacing="1"/>
        <w:rPr>
          <w:rFonts w:ascii="Calibri" w:eastAsia="Times New Roman" w:hAnsi="Calibri" w:cs="Calibri"/>
          <w:color w:val="000000"/>
          <w:sz w:val="27"/>
          <w:szCs w:val="27"/>
          <w:lang w:eastAsia="en-GB"/>
        </w:rPr>
      </w:pPr>
      <w:hyperlink r:id="rId9" w:anchor="purpose" w:history="1">
        <w:r w:rsidR="00D5133A" w:rsidRPr="00D5133A">
          <w:rPr>
            <w:rFonts w:ascii="Calibri" w:eastAsia="Times New Roman" w:hAnsi="Calibri" w:cs="Calibri"/>
            <w:b/>
            <w:bCs/>
            <w:color w:val="253E8A"/>
            <w:sz w:val="27"/>
            <w:szCs w:val="27"/>
            <w:u w:val="single"/>
            <w:lang w:eastAsia="en-GB"/>
          </w:rPr>
          <w:t>Purpose</w:t>
        </w:r>
      </w:hyperlink>
    </w:p>
    <w:p w14:paraId="384D7FA3" w14:textId="0D5D4C4E" w:rsidR="00D5133A" w:rsidRPr="00D5133A" w:rsidRDefault="00BD1E87" w:rsidP="00D5133A">
      <w:pPr>
        <w:numPr>
          <w:ilvl w:val="0"/>
          <w:numId w:val="1"/>
        </w:numPr>
        <w:spacing w:before="150" w:after="100" w:afterAutospacing="1"/>
        <w:rPr>
          <w:rFonts w:ascii="Calibri" w:eastAsia="Times New Roman" w:hAnsi="Calibri" w:cs="Calibri"/>
          <w:color w:val="000000"/>
          <w:sz w:val="27"/>
          <w:szCs w:val="27"/>
          <w:lang w:eastAsia="en-GB"/>
        </w:rPr>
      </w:pPr>
      <w:hyperlink r:id="rId10" w:anchor="deciding_which_panel" w:history="1">
        <w:r w:rsidR="00D5133A" w:rsidRPr="00D5133A">
          <w:rPr>
            <w:rFonts w:ascii="Calibri" w:eastAsia="Times New Roman" w:hAnsi="Calibri" w:cs="Calibri"/>
            <w:b/>
            <w:bCs/>
            <w:color w:val="253E8A"/>
            <w:sz w:val="27"/>
            <w:szCs w:val="27"/>
            <w:u w:val="single"/>
            <w:lang w:eastAsia="en-GB"/>
          </w:rPr>
          <w:t xml:space="preserve">Deciding </w:t>
        </w:r>
        <w:r w:rsidR="00B028BC">
          <w:rPr>
            <w:rFonts w:ascii="Calibri" w:eastAsia="Times New Roman" w:hAnsi="Calibri" w:cs="Calibri"/>
            <w:b/>
            <w:bCs/>
            <w:color w:val="253E8A"/>
            <w:sz w:val="27"/>
            <w:szCs w:val="27"/>
            <w:u w:val="single"/>
            <w:lang w:eastAsia="en-GB"/>
          </w:rPr>
          <w:t>w</w:t>
        </w:r>
        <w:r w:rsidR="00D5133A" w:rsidRPr="00D5133A">
          <w:rPr>
            <w:rFonts w:ascii="Calibri" w:eastAsia="Times New Roman" w:hAnsi="Calibri" w:cs="Calibri"/>
            <w:b/>
            <w:bCs/>
            <w:color w:val="253E8A"/>
            <w:sz w:val="27"/>
            <w:szCs w:val="27"/>
            <w:u w:val="single"/>
            <w:lang w:eastAsia="en-GB"/>
          </w:rPr>
          <w:t xml:space="preserve">hich </w:t>
        </w:r>
        <w:r w:rsidR="00B028BC">
          <w:rPr>
            <w:rFonts w:ascii="Calibri" w:eastAsia="Times New Roman" w:hAnsi="Calibri" w:cs="Calibri"/>
            <w:b/>
            <w:bCs/>
            <w:color w:val="253E8A"/>
            <w:sz w:val="27"/>
            <w:szCs w:val="27"/>
            <w:u w:val="single"/>
            <w:lang w:eastAsia="en-GB"/>
          </w:rPr>
          <w:t>p</w:t>
        </w:r>
        <w:r w:rsidR="00D5133A" w:rsidRPr="00D5133A">
          <w:rPr>
            <w:rFonts w:ascii="Calibri" w:eastAsia="Times New Roman" w:hAnsi="Calibri" w:cs="Calibri"/>
            <w:b/>
            <w:bCs/>
            <w:color w:val="253E8A"/>
            <w:sz w:val="27"/>
            <w:szCs w:val="27"/>
            <w:u w:val="single"/>
            <w:lang w:eastAsia="en-GB"/>
          </w:rPr>
          <w:t xml:space="preserve">anel to </w:t>
        </w:r>
        <w:r w:rsidR="00B028BC">
          <w:rPr>
            <w:rFonts w:ascii="Calibri" w:eastAsia="Times New Roman" w:hAnsi="Calibri" w:cs="Calibri"/>
            <w:b/>
            <w:bCs/>
            <w:color w:val="253E8A"/>
            <w:sz w:val="27"/>
            <w:szCs w:val="27"/>
            <w:u w:val="single"/>
            <w:lang w:eastAsia="en-GB"/>
          </w:rPr>
          <w:t>u</w:t>
        </w:r>
        <w:r w:rsidR="00D5133A" w:rsidRPr="00D5133A">
          <w:rPr>
            <w:rFonts w:ascii="Calibri" w:eastAsia="Times New Roman" w:hAnsi="Calibri" w:cs="Calibri"/>
            <w:b/>
            <w:bCs/>
            <w:color w:val="253E8A"/>
            <w:sz w:val="27"/>
            <w:szCs w:val="27"/>
            <w:u w:val="single"/>
            <w:lang w:eastAsia="en-GB"/>
          </w:rPr>
          <w:t>se</w:t>
        </w:r>
      </w:hyperlink>
    </w:p>
    <w:p w14:paraId="1026596C" w14:textId="4E6291ED" w:rsidR="00D5133A" w:rsidRPr="00D5133A" w:rsidRDefault="00BD1E87" w:rsidP="00D5133A">
      <w:pPr>
        <w:numPr>
          <w:ilvl w:val="0"/>
          <w:numId w:val="1"/>
        </w:numPr>
        <w:spacing w:before="150" w:after="100" w:afterAutospacing="1"/>
        <w:rPr>
          <w:rFonts w:ascii="Calibri" w:eastAsia="Times New Roman" w:hAnsi="Calibri" w:cs="Calibri"/>
          <w:color w:val="000000"/>
          <w:sz w:val="27"/>
          <w:szCs w:val="27"/>
          <w:lang w:eastAsia="en-GB"/>
        </w:rPr>
      </w:pPr>
      <w:hyperlink r:id="rId11" w:anchor="case_responsibility" w:history="1">
        <w:r w:rsidR="00D5133A" w:rsidRPr="00D5133A">
          <w:rPr>
            <w:rFonts w:ascii="Calibri" w:eastAsia="Times New Roman" w:hAnsi="Calibri" w:cs="Calibri"/>
            <w:b/>
            <w:bCs/>
            <w:color w:val="253E8A"/>
            <w:sz w:val="27"/>
            <w:szCs w:val="27"/>
            <w:u w:val="single"/>
            <w:lang w:eastAsia="en-GB"/>
          </w:rPr>
          <w:t>Case </w:t>
        </w:r>
        <w:r w:rsidR="00B028BC">
          <w:rPr>
            <w:rFonts w:ascii="Calibri" w:eastAsia="Times New Roman" w:hAnsi="Calibri" w:cs="Calibri"/>
            <w:b/>
            <w:bCs/>
            <w:color w:val="253E8A"/>
            <w:sz w:val="27"/>
            <w:szCs w:val="27"/>
            <w:u w:val="single"/>
            <w:lang w:eastAsia="en-GB"/>
          </w:rPr>
          <w:t>r</w:t>
        </w:r>
        <w:r w:rsidR="00D5133A" w:rsidRPr="00D5133A">
          <w:rPr>
            <w:rFonts w:ascii="Calibri" w:eastAsia="Times New Roman" w:hAnsi="Calibri" w:cs="Calibri"/>
            <w:b/>
            <w:bCs/>
            <w:color w:val="253E8A"/>
            <w:sz w:val="27"/>
            <w:szCs w:val="27"/>
            <w:u w:val="single"/>
            <w:lang w:eastAsia="en-GB"/>
          </w:rPr>
          <w:t>esponsibility</w:t>
        </w:r>
      </w:hyperlink>
    </w:p>
    <w:p w14:paraId="2A414978" w14:textId="5F3B9409" w:rsidR="00D5133A" w:rsidRPr="00D5133A" w:rsidRDefault="00BD1E87" w:rsidP="00D5133A">
      <w:pPr>
        <w:numPr>
          <w:ilvl w:val="0"/>
          <w:numId w:val="1"/>
        </w:numPr>
        <w:spacing w:before="150" w:after="100" w:afterAutospacing="1"/>
        <w:rPr>
          <w:rFonts w:ascii="Calibri" w:eastAsia="Times New Roman" w:hAnsi="Calibri" w:cs="Calibri"/>
          <w:color w:val="000000"/>
          <w:sz w:val="27"/>
          <w:szCs w:val="27"/>
          <w:lang w:eastAsia="en-GB"/>
        </w:rPr>
      </w:pPr>
      <w:hyperlink r:id="rId12" w:anchor="complex_case_pan" w:history="1">
        <w:r w:rsidR="00D5133A" w:rsidRPr="00D5133A">
          <w:rPr>
            <w:rFonts w:ascii="Calibri" w:eastAsia="Times New Roman" w:hAnsi="Calibri" w:cs="Calibri"/>
            <w:b/>
            <w:bCs/>
            <w:color w:val="253E8A"/>
            <w:sz w:val="27"/>
            <w:szCs w:val="27"/>
            <w:u w:val="single"/>
            <w:lang w:eastAsia="en-GB"/>
          </w:rPr>
          <w:t>Complex </w:t>
        </w:r>
        <w:r w:rsidR="00B028BC">
          <w:rPr>
            <w:rFonts w:ascii="Calibri" w:eastAsia="Times New Roman" w:hAnsi="Calibri" w:cs="Calibri"/>
            <w:b/>
            <w:bCs/>
            <w:color w:val="253E8A"/>
            <w:sz w:val="27"/>
            <w:szCs w:val="27"/>
            <w:u w:val="single"/>
            <w:lang w:eastAsia="en-GB"/>
          </w:rPr>
          <w:t>c</w:t>
        </w:r>
        <w:r w:rsidR="00EB5414">
          <w:rPr>
            <w:rFonts w:ascii="Calibri" w:eastAsia="Times New Roman" w:hAnsi="Calibri" w:cs="Calibri"/>
            <w:b/>
            <w:bCs/>
            <w:color w:val="253E8A"/>
            <w:sz w:val="27"/>
            <w:szCs w:val="27"/>
            <w:u w:val="single"/>
            <w:lang w:eastAsia="en-GB"/>
          </w:rPr>
          <w:t>hild</w:t>
        </w:r>
        <w:r w:rsidR="00D5133A" w:rsidRPr="00D5133A">
          <w:rPr>
            <w:rFonts w:ascii="Calibri" w:eastAsia="Times New Roman" w:hAnsi="Calibri" w:cs="Calibri"/>
            <w:b/>
            <w:bCs/>
            <w:color w:val="253E8A"/>
            <w:sz w:val="27"/>
            <w:szCs w:val="27"/>
            <w:u w:val="single"/>
            <w:lang w:eastAsia="en-GB"/>
          </w:rPr>
          <w:t> </w:t>
        </w:r>
        <w:r w:rsidR="00B028BC">
          <w:rPr>
            <w:rFonts w:ascii="Calibri" w:eastAsia="Times New Roman" w:hAnsi="Calibri" w:cs="Calibri"/>
            <w:b/>
            <w:bCs/>
            <w:color w:val="253E8A"/>
            <w:sz w:val="27"/>
            <w:szCs w:val="27"/>
            <w:u w:val="single"/>
            <w:lang w:eastAsia="en-GB"/>
          </w:rPr>
          <w:t>p</w:t>
        </w:r>
        <w:r w:rsidR="00D5133A" w:rsidRPr="00D5133A">
          <w:rPr>
            <w:rFonts w:ascii="Calibri" w:eastAsia="Times New Roman" w:hAnsi="Calibri" w:cs="Calibri"/>
            <w:b/>
            <w:bCs/>
            <w:color w:val="253E8A"/>
            <w:sz w:val="27"/>
            <w:szCs w:val="27"/>
            <w:u w:val="single"/>
            <w:lang w:eastAsia="en-GB"/>
          </w:rPr>
          <w:t xml:space="preserve">anel </w:t>
        </w:r>
        <w:r w:rsidR="00B028BC">
          <w:rPr>
            <w:rFonts w:ascii="Calibri" w:eastAsia="Times New Roman" w:hAnsi="Calibri" w:cs="Calibri"/>
            <w:b/>
            <w:bCs/>
            <w:color w:val="253E8A"/>
            <w:sz w:val="27"/>
            <w:szCs w:val="27"/>
            <w:u w:val="single"/>
            <w:lang w:eastAsia="en-GB"/>
          </w:rPr>
          <w:t>m</w:t>
        </w:r>
        <w:r w:rsidR="00D5133A" w:rsidRPr="00D5133A">
          <w:rPr>
            <w:rFonts w:ascii="Calibri" w:eastAsia="Times New Roman" w:hAnsi="Calibri" w:cs="Calibri"/>
            <w:b/>
            <w:bCs/>
            <w:color w:val="253E8A"/>
            <w:sz w:val="27"/>
            <w:szCs w:val="27"/>
            <w:u w:val="single"/>
            <w:lang w:eastAsia="en-GB"/>
          </w:rPr>
          <w:t>embership</w:t>
        </w:r>
      </w:hyperlink>
    </w:p>
    <w:p w14:paraId="25AC5424" w14:textId="0BAB0D5E" w:rsidR="00D5133A" w:rsidRPr="00D5133A" w:rsidRDefault="00BD1E87" w:rsidP="00D5133A">
      <w:pPr>
        <w:numPr>
          <w:ilvl w:val="0"/>
          <w:numId w:val="1"/>
        </w:numPr>
        <w:spacing w:before="150" w:after="100" w:afterAutospacing="1"/>
        <w:rPr>
          <w:rFonts w:ascii="Calibri" w:eastAsia="Times New Roman" w:hAnsi="Calibri" w:cs="Calibri"/>
          <w:color w:val="000000"/>
          <w:sz w:val="27"/>
          <w:szCs w:val="27"/>
          <w:lang w:eastAsia="en-GB"/>
        </w:rPr>
      </w:pPr>
      <w:hyperlink r:id="rId13" w:anchor="roles_of_members" w:history="1">
        <w:r w:rsidR="00D5133A" w:rsidRPr="00D5133A">
          <w:rPr>
            <w:rFonts w:ascii="Calibri" w:eastAsia="Times New Roman" w:hAnsi="Calibri" w:cs="Calibri"/>
            <w:b/>
            <w:bCs/>
            <w:color w:val="253E8A"/>
            <w:sz w:val="27"/>
            <w:szCs w:val="27"/>
            <w:u w:val="single"/>
            <w:lang w:eastAsia="en-GB"/>
          </w:rPr>
          <w:t xml:space="preserve">Roles of </w:t>
        </w:r>
        <w:r w:rsidR="00B028BC">
          <w:rPr>
            <w:rFonts w:ascii="Calibri" w:eastAsia="Times New Roman" w:hAnsi="Calibri" w:cs="Calibri"/>
            <w:b/>
            <w:bCs/>
            <w:color w:val="253E8A"/>
            <w:sz w:val="27"/>
            <w:szCs w:val="27"/>
            <w:u w:val="single"/>
            <w:lang w:eastAsia="en-GB"/>
          </w:rPr>
          <w:t>m</w:t>
        </w:r>
        <w:r w:rsidR="00D5133A" w:rsidRPr="00D5133A">
          <w:rPr>
            <w:rFonts w:ascii="Calibri" w:eastAsia="Times New Roman" w:hAnsi="Calibri" w:cs="Calibri"/>
            <w:b/>
            <w:bCs/>
            <w:color w:val="253E8A"/>
            <w:sz w:val="27"/>
            <w:szCs w:val="27"/>
            <w:u w:val="single"/>
            <w:lang w:eastAsia="en-GB"/>
          </w:rPr>
          <w:t>embers</w:t>
        </w:r>
      </w:hyperlink>
    </w:p>
    <w:p w14:paraId="5F24B0DC" w14:textId="11151763" w:rsidR="00D5133A" w:rsidRPr="00D5133A" w:rsidRDefault="00BD1E87" w:rsidP="00D5133A">
      <w:pPr>
        <w:numPr>
          <w:ilvl w:val="0"/>
          <w:numId w:val="1"/>
        </w:numPr>
        <w:spacing w:before="150" w:after="100" w:afterAutospacing="1"/>
        <w:rPr>
          <w:rFonts w:ascii="Calibri" w:eastAsia="Times New Roman" w:hAnsi="Calibri" w:cs="Calibri"/>
          <w:color w:val="000000"/>
          <w:sz w:val="27"/>
          <w:szCs w:val="27"/>
          <w:lang w:eastAsia="en-GB"/>
        </w:rPr>
      </w:pPr>
      <w:hyperlink r:id="rId14" w:anchor="freq_pan_meet" w:history="1">
        <w:r w:rsidR="00D5133A" w:rsidRPr="00D5133A">
          <w:rPr>
            <w:rFonts w:ascii="Calibri" w:eastAsia="Times New Roman" w:hAnsi="Calibri" w:cs="Calibri"/>
            <w:b/>
            <w:bCs/>
            <w:color w:val="253E8A"/>
            <w:sz w:val="27"/>
            <w:szCs w:val="27"/>
            <w:u w:val="single"/>
            <w:lang w:eastAsia="en-GB"/>
          </w:rPr>
          <w:t xml:space="preserve">Frequency of </w:t>
        </w:r>
        <w:r w:rsidR="00B028BC">
          <w:rPr>
            <w:rFonts w:ascii="Calibri" w:eastAsia="Times New Roman" w:hAnsi="Calibri" w:cs="Calibri"/>
            <w:b/>
            <w:bCs/>
            <w:color w:val="253E8A"/>
            <w:sz w:val="27"/>
            <w:szCs w:val="27"/>
            <w:u w:val="single"/>
            <w:lang w:eastAsia="en-GB"/>
          </w:rPr>
          <w:t>p</w:t>
        </w:r>
        <w:r w:rsidR="00D5133A" w:rsidRPr="00D5133A">
          <w:rPr>
            <w:rFonts w:ascii="Calibri" w:eastAsia="Times New Roman" w:hAnsi="Calibri" w:cs="Calibri"/>
            <w:b/>
            <w:bCs/>
            <w:color w:val="253E8A"/>
            <w:sz w:val="27"/>
            <w:szCs w:val="27"/>
            <w:u w:val="single"/>
            <w:lang w:eastAsia="en-GB"/>
          </w:rPr>
          <w:t xml:space="preserve">anel </w:t>
        </w:r>
        <w:r w:rsidR="00B028BC">
          <w:rPr>
            <w:rFonts w:ascii="Calibri" w:eastAsia="Times New Roman" w:hAnsi="Calibri" w:cs="Calibri"/>
            <w:b/>
            <w:bCs/>
            <w:color w:val="253E8A"/>
            <w:sz w:val="27"/>
            <w:szCs w:val="27"/>
            <w:u w:val="single"/>
            <w:lang w:eastAsia="en-GB"/>
          </w:rPr>
          <w:t>m</w:t>
        </w:r>
        <w:r w:rsidR="00D5133A" w:rsidRPr="00D5133A">
          <w:rPr>
            <w:rFonts w:ascii="Calibri" w:eastAsia="Times New Roman" w:hAnsi="Calibri" w:cs="Calibri"/>
            <w:b/>
            <w:bCs/>
            <w:color w:val="253E8A"/>
            <w:sz w:val="27"/>
            <w:szCs w:val="27"/>
            <w:u w:val="single"/>
            <w:lang w:eastAsia="en-GB"/>
          </w:rPr>
          <w:t>eetings</w:t>
        </w:r>
      </w:hyperlink>
    </w:p>
    <w:p w14:paraId="1DA1C236" w14:textId="159266FE" w:rsidR="00D5133A" w:rsidRPr="00D5133A" w:rsidRDefault="00BD1E87" w:rsidP="00D5133A">
      <w:pPr>
        <w:numPr>
          <w:ilvl w:val="0"/>
          <w:numId w:val="1"/>
        </w:numPr>
        <w:spacing w:before="150" w:after="100" w:afterAutospacing="1"/>
        <w:rPr>
          <w:rFonts w:ascii="Calibri" w:eastAsia="Times New Roman" w:hAnsi="Calibri" w:cs="Calibri"/>
          <w:color w:val="000000"/>
          <w:sz w:val="27"/>
          <w:szCs w:val="27"/>
          <w:lang w:eastAsia="en-GB"/>
        </w:rPr>
      </w:pPr>
      <w:hyperlink r:id="rId15" w:anchor="criteria" w:history="1">
        <w:r w:rsidR="00D5133A" w:rsidRPr="00D5133A">
          <w:rPr>
            <w:rFonts w:ascii="Calibri" w:eastAsia="Times New Roman" w:hAnsi="Calibri" w:cs="Calibri"/>
            <w:b/>
            <w:bCs/>
            <w:color w:val="253E8A"/>
            <w:sz w:val="27"/>
            <w:szCs w:val="27"/>
            <w:u w:val="single"/>
            <w:lang w:eastAsia="en-GB"/>
          </w:rPr>
          <w:t>Criteria for </w:t>
        </w:r>
        <w:r w:rsidR="00B028BC">
          <w:rPr>
            <w:rFonts w:ascii="Calibri" w:eastAsia="Times New Roman" w:hAnsi="Calibri" w:cs="Calibri"/>
            <w:b/>
            <w:bCs/>
            <w:color w:val="253E8A"/>
            <w:sz w:val="27"/>
            <w:szCs w:val="27"/>
            <w:u w:val="single"/>
            <w:lang w:eastAsia="en-GB"/>
          </w:rPr>
          <w:t>c</w:t>
        </w:r>
        <w:r w:rsidR="00D5133A" w:rsidRPr="00D5133A">
          <w:rPr>
            <w:rFonts w:ascii="Calibri" w:eastAsia="Times New Roman" w:hAnsi="Calibri" w:cs="Calibri"/>
            <w:b/>
            <w:bCs/>
            <w:color w:val="253E8A"/>
            <w:sz w:val="27"/>
            <w:szCs w:val="27"/>
            <w:u w:val="single"/>
            <w:lang w:eastAsia="en-GB"/>
          </w:rPr>
          <w:t>omplex </w:t>
        </w:r>
        <w:r w:rsidR="00B028BC">
          <w:rPr>
            <w:rFonts w:ascii="Calibri" w:eastAsia="Times New Roman" w:hAnsi="Calibri" w:cs="Calibri"/>
            <w:b/>
            <w:bCs/>
            <w:color w:val="253E8A"/>
            <w:sz w:val="27"/>
            <w:szCs w:val="27"/>
            <w:u w:val="single"/>
            <w:lang w:eastAsia="en-GB"/>
          </w:rPr>
          <w:t>c</w:t>
        </w:r>
        <w:r w:rsidR="00EB5414">
          <w:rPr>
            <w:rFonts w:ascii="Calibri" w:eastAsia="Times New Roman" w:hAnsi="Calibri" w:cs="Calibri"/>
            <w:b/>
            <w:bCs/>
            <w:color w:val="253E8A"/>
            <w:sz w:val="27"/>
            <w:szCs w:val="27"/>
            <w:u w:val="single"/>
            <w:lang w:eastAsia="en-GB"/>
          </w:rPr>
          <w:t>hild</w:t>
        </w:r>
        <w:r w:rsidR="00D5133A" w:rsidRPr="00D5133A">
          <w:rPr>
            <w:rFonts w:ascii="Calibri" w:eastAsia="Times New Roman" w:hAnsi="Calibri" w:cs="Calibri"/>
            <w:b/>
            <w:bCs/>
            <w:color w:val="253E8A"/>
            <w:sz w:val="27"/>
            <w:szCs w:val="27"/>
            <w:u w:val="single"/>
            <w:lang w:eastAsia="en-GB"/>
          </w:rPr>
          <w:t> </w:t>
        </w:r>
        <w:r w:rsidR="00B028BC">
          <w:rPr>
            <w:rFonts w:ascii="Calibri" w:eastAsia="Times New Roman" w:hAnsi="Calibri" w:cs="Calibri"/>
            <w:b/>
            <w:bCs/>
            <w:color w:val="253E8A"/>
            <w:sz w:val="27"/>
            <w:szCs w:val="27"/>
            <w:u w:val="single"/>
            <w:lang w:eastAsia="en-GB"/>
          </w:rPr>
          <w:t>p</w:t>
        </w:r>
        <w:r w:rsidR="00D5133A" w:rsidRPr="00D5133A">
          <w:rPr>
            <w:rFonts w:ascii="Calibri" w:eastAsia="Times New Roman" w:hAnsi="Calibri" w:cs="Calibri"/>
            <w:b/>
            <w:bCs/>
            <w:color w:val="253E8A"/>
            <w:sz w:val="27"/>
            <w:szCs w:val="27"/>
            <w:u w:val="single"/>
            <w:lang w:eastAsia="en-GB"/>
          </w:rPr>
          <w:t>lanning</w:t>
        </w:r>
      </w:hyperlink>
    </w:p>
    <w:p w14:paraId="61A466BC" w14:textId="70D69517" w:rsidR="00D5133A" w:rsidRPr="00D5133A" w:rsidRDefault="00BD1E87" w:rsidP="00D5133A">
      <w:pPr>
        <w:numPr>
          <w:ilvl w:val="0"/>
          <w:numId w:val="1"/>
        </w:numPr>
        <w:spacing w:before="150" w:after="100" w:afterAutospacing="1"/>
        <w:rPr>
          <w:rFonts w:ascii="Calibri" w:eastAsia="Times New Roman" w:hAnsi="Calibri" w:cs="Calibri"/>
          <w:color w:val="000000"/>
          <w:sz w:val="27"/>
          <w:szCs w:val="27"/>
          <w:lang w:eastAsia="en-GB"/>
        </w:rPr>
      </w:pPr>
      <w:hyperlink r:id="rId16" w:anchor="examples" w:history="1">
        <w:r w:rsidR="00D5133A" w:rsidRPr="00D5133A">
          <w:rPr>
            <w:rFonts w:ascii="Calibri" w:eastAsia="Times New Roman" w:hAnsi="Calibri" w:cs="Calibri"/>
            <w:b/>
            <w:bCs/>
            <w:color w:val="253E8A"/>
            <w:sz w:val="27"/>
            <w:szCs w:val="27"/>
            <w:u w:val="single"/>
            <w:lang w:eastAsia="en-GB"/>
          </w:rPr>
          <w:t xml:space="preserve">Examples of </w:t>
        </w:r>
        <w:r w:rsidR="00B028BC">
          <w:rPr>
            <w:rFonts w:ascii="Calibri" w:eastAsia="Times New Roman" w:hAnsi="Calibri" w:cs="Calibri"/>
            <w:b/>
            <w:bCs/>
            <w:color w:val="253E8A"/>
            <w:sz w:val="27"/>
            <w:szCs w:val="27"/>
            <w:u w:val="single"/>
            <w:lang w:eastAsia="en-GB"/>
          </w:rPr>
          <w:t>s</w:t>
        </w:r>
        <w:r w:rsidR="00D5133A" w:rsidRPr="00D5133A">
          <w:rPr>
            <w:rFonts w:ascii="Calibri" w:eastAsia="Times New Roman" w:hAnsi="Calibri" w:cs="Calibri"/>
            <w:b/>
            <w:bCs/>
            <w:color w:val="253E8A"/>
            <w:sz w:val="27"/>
            <w:szCs w:val="27"/>
            <w:u w:val="single"/>
            <w:lang w:eastAsia="en-GB"/>
          </w:rPr>
          <w:t>ervice-</w:t>
        </w:r>
        <w:r w:rsidR="00B028BC">
          <w:rPr>
            <w:rFonts w:ascii="Calibri" w:eastAsia="Times New Roman" w:hAnsi="Calibri" w:cs="Calibri"/>
            <w:b/>
            <w:bCs/>
            <w:color w:val="253E8A"/>
            <w:sz w:val="27"/>
            <w:szCs w:val="27"/>
            <w:u w:val="single"/>
            <w:lang w:eastAsia="en-GB"/>
          </w:rPr>
          <w:t>b</w:t>
        </w:r>
        <w:r w:rsidR="00D5133A" w:rsidRPr="00D5133A">
          <w:rPr>
            <w:rFonts w:ascii="Calibri" w:eastAsia="Times New Roman" w:hAnsi="Calibri" w:cs="Calibri"/>
            <w:b/>
            <w:bCs/>
            <w:color w:val="253E8A"/>
            <w:sz w:val="27"/>
            <w:szCs w:val="27"/>
            <w:u w:val="single"/>
            <w:lang w:eastAsia="en-GB"/>
          </w:rPr>
          <w:t xml:space="preserve">ased </w:t>
        </w:r>
        <w:r w:rsidR="00B028BC">
          <w:rPr>
            <w:rFonts w:ascii="Calibri" w:eastAsia="Times New Roman" w:hAnsi="Calibri" w:cs="Calibri"/>
            <w:b/>
            <w:bCs/>
            <w:color w:val="253E8A"/>
            <w:sz w:val="27"/>
            <w:szCs w:val="27"/>
            <w:u w:val="single"/>
            <w:lang w:eastAsia="en-GB"/>
          </w:rPr>
          <w:t>c</w:t>
        </w:r>
        <w:r w:rsidR="00D5133A" w:rsidRPr="00D5133A">
          <w:rPr>
            <w:rFonts w:ascii="Calibri" w:eastAsia="Times New Roman" w:hAnsi="Calibri" w:cs="Calibri"/>
            <w:b/>
            <w:bCs/>
            <w:color w:val="253E8A"/>
            <w:sz w:val="27"/>
            <w:szCs w:val="27"/>
            <w:u w:val="single"/>
            <w:lang w:eastAsia="en-GB"/>
          </w:rPr>
          <w:t xml:space="preserve">oncerns </w:t>
        </w:r>
        <w:r w:rsidR="00B028BC">
          <w:rPr>
            <w:rFonts w:ascii="Calibri" w:eastAsia="Times New Roman" w:hAnsi="Calibri" w:cs="Calibri"/>
            <w:b/>
            <w:bCs/>
            <w:color w:val="253E8A"/>
            <w:sz w:val="27"/>
            <w:szCs w:val="27"/>
            <w:u w:val="single"/>
            <w:lang w:eastAsia="en-GB"/>
          </w:rPr>
          <w:t>a</w:t>
        </w:r>
        <w:r w:rsidR="00D5133A" w:rsidRPr="00D5133A">
          <w:rPr>
            <w:rFonts w:ascii="Calibri" w:eastAsia="Times New Roman" w:hAnsi="Calibri" w:cs="Calibri"/>
            <w:b/>
            <w:bCs/>
            <w:color w:val="253E8A"/>
            <w:sz w:val="27"/>
            <w:szCs w:val="27"/>
            <w:u w:val="single"/>
            <w:lang w:eastAsia="en-GB"/>
          </w:rPr>
          <w:t xml:space="preserve">ffecting </w:t>
        </w:r>
        <w:r w:rsidR="00B028BC">
          <w:rPr>
            <w:rFonts w:ascii="Calibri" w:eastAsia="Times New Roman" w:hAnsi="Calibri" w:cs="Calibri"/>
            <w:b/>
            <w:bCs/>
            <w:color w:val="253E8A"/>
            <w:sz w:val="27"/>
            <w:szCs w:val="27"/>
            <w:u w:val="single"/>
            <w:lang w:eastAsia="en-GB"/>
          </w:rPr>
          <w:t>o</w:t>
        </w:r>
        <w:r w:rsidR="00D5133A" w:rsidRPr="00D5133A">
          <w:rPr>
            <w:rFonts w:ascii="Calibri" w:eastAsia="Times New Roman" w:hAnsi="Calibri" w:cs="Calibri"/>
            <w:b/>
            <w:bCs/>
            <w:color w:val="253E8A"/>
            <w:sz w:val="27"/>
            <w:szCs w:val="27"/>
            <w:u w:val="single"/>
            <w:lang w:eastAsia="en-GB"/>
          </w:rPr>
          <w:t>utcomes</w:t>
        </w:r>
      </w:hyperlink>
    </w:p>
    <w:p w14:paraId="7B062152" w14:textId="5291FB28" w:rsidR="00D5133A" w:rsidRPr="00D5133A" w:rsidRDefault="00BD1E87" w:rsidP="00D5133A">
      <w:pPr>
        <w:numPr>
          <w:ilvl w:val="0"/>
          <w:numId w:val="1"/>
        </w:numPr>
        <w:spacing w:before="150" w:after="100" w:afterAutospacing="1"/>
        <w:rPr>
          <w:rFonts w:ascii="Calibri" w:eastAsia="Times New Roman" w:hAnsi="Calibri" w:cs="Calibri"/>
          <w:color w:val="000000"/>
          <w:sz w:val="27"/>
          <w:szCs w:val="27"/>
          <w:lang w:eastAsia="en-GB"/>
        </w:rPr>
      </w:pPr>
      <w:hyperlink r:id="rId17" w:anchor="intended_outcomes" w:history="1">
        <w:r w:rsidR="00D5133A" w:rsidRPr="00D5133A">
          <w:rPr>
            <w:rFonts w:ascii="Calibri" w:eastAsia="Times New Roman" w:hAnsi="Calibri" w:cs="Calibri"/>
            <w:b/>
            <w:bCs/>
            <w:color w:val="253E8A"/>
            <w:sz w:val="27"/>
            <w:szCs w:val="27"/>
            <w:u w:val="single"/>
            <w:lang w:eastAsia="en-GB"/>
          </w:rPr>
          <w:t xml:space="preserve">Intended </w:t>
        </w:r>
        <w:r w:rsidR="00B028BC">
          <w:rPr>
            <w:rFonts w:ascii="Calibri" w:eastAsia="Times New Roman" w:hAnsi="Calibri" w:cs="Calibri"/>
            <w:b/>
            <w:bCs/>
            <w:color w:val="253E8A"/>
            <w:sz w:val="27"/>
            <w:szCs w:val="27"/>
            <w:u w:val="single"/>
            <w:lang w:eastAsia="en-GB"/>
          </w:rPr>
          <w:t>o</w:t>
        </w:r>
        <w:r w:rsidR="00D5133A" w:rsidRPr="00D5133A">
          <w:rPr>
            <w:rFonts w:ascii="Calibri" w:eastAsia="Times New Roman" w:hAnsi="Calibri" w:cs="Calibri"/>
            <w:b/>
            <w:bCs/>
            <w:color w:val="253E8A"/>
            <w:sz w:val="27"/>
            <w:szCs w:val="27"/>
            <w:u w:val="single"/>
            <w:lang w:eastAsia="en-GB"/>
          </w:rPr>
          <w:t xml:space="preserve">utcomes of the </w:t>
        </w:r>
        <w:r w:rsidR="00B028BC">
          <w:rPr>
            <w:rFonts w:ascii="Calibri" w:eastAsia="Times New Roman" w:hAnsi="Calibri" w:cs="Calibri"/>
            <w:b/>
            <w:bCs/>
            <w:color w:val="253E8A"/>
            <w:sz w:val="27"/>
            <w:szCs w:val="27"/>
            <w:u w:val="single"/>
            <w:lang w:eastAsia="en-GB"/>
          </w:rPr>
          <w:t>p</w:t>
        </w:r>
        <w:r w:rsidR="00D5133A" w:rsidRPr="00D5133A">
          <w:rPr>
            <w:rFonts w:ascii="Calibri" w:eastAsia="Times New Roman" w:hAnsi="Calibri" w:cs="Calibri"/>
            <w:b/>
            <w:bCs/>
            <w:color w:val="253E8A"/>
            <w:sz w:val="27"/>
            <w:szCs w:val="27"/>
            <w:u w:val="single"/>
            <w:lang w:eastAsia="en-GB"/>
          </w:rPr>
          <w:t>rocess</w:t>
        </w:r>
      </w:hyperlink>
    </w:p>
    <w:p w14:paraId="35393DA0" w14:textId="77777777" w:rsidR="00D5133A" w:rsidRPr="00D5133A" w:rsidRDefault="00BD1E87" w:rsidP="00D5133A">
      <w:pPr>
        <w:numPr>
          <w:ilvl w:val="0"/>
          <w:numId w:val="1"/>
        </w:numPr>
        <w:spacing w:before="150" w:after="100" w:afterAutospacing="1"/>
        <w:rPr>
          <w:rFonts w:ascii="Calibri" w:eastAsia="Times New Roman" w:hAnsi="Calibri" w:cs="Calibri"/>
          <w:color w:val="000000"/>
          <w:sz w:val="27"/>
          <w:szCs w:val="27"/>
          <w:lang w:eastAsia="en-GB"/>
        </w:rPr>
      </w:pPr>
      <w:hyperlink r:id="rId18" w:anchor="process" w:history="1">
        <w:r w:rsidR="00D5133A" w:rsidRPr="00D5133A">
          <w:rPr>
            <w:rFonts w:ascii="Calibri" w:eastAsia="Times New Roman" w:hAnsi="Calibri" w:cs="Calibri"/>
            <w:b/>
            <w:bCs/>
            <w:color w:val="253E8A"/>
            <w:sz w:val="27"/>
            <w:szCs w:val="27"/>
            <w:u w:val="single"/>
            <w:lang w:eastAsia="en-GB"/>
          </w:rPr>
          <w:t>Process</w:t>
        </w:r>
      </w:hyperlink>
    </w:p>
    <w:p w14:paraId="7E5CDBB5" w14:textId="77777777" w:rsidR="00D5133A" w:rsidRPr="00D5133A" w:rsidRDefault="00D5133A" w:rsidP="00D5133A">
      <w:pPr>
        <w:pBdr>
          <w:bottom w:val="single" w:sz="6" w:space="0" w:color="439CB1"/>
        </w:pBdr>
        <w:outlineLvl w:val="2"/>
        <w:rPr>
          <w:rFonts w:ascii="Calibri" w:eastAsia="Times New Roman" w:hAnsi="Calibri" w:cs="Calibri"/>
          <w:b/>
          <w:bCs/>
          <w:color w:val="000000"/>
          <w:sz w:val="31"/>
          <w:szCs w:val="31"/>
          <w:lang w:eastAsia="en-GB"/>
        </w:rPr>
      </w:pPr>
      <w:r w:rsidRPr="00D5133A">
        <w:rPr>
          <w:rFonts w:ascii="Calibri" w:eastAsia="Times New Roman" w:hAnsi="Calibri" w:cs="Calibri"/>
          <w:b/>
          <w:bCs/>
          <w:color w:val="000000"/>
          <w:sz w:val="31"/>
          <w:szCs w:val="31"/>
          <w:lang w:eastAsia="en-GB"/>
        </w:rPr>
        <w:t>1. Introduction</w:t>
      </w:r>
    </w:p>
    <w:p w14:paraId="4B65B925" w14:textId="4F89F285" w:rsidR="00D5133A" w:rsidRPr="00D5133A" w:rsidRDefault="00D5133A" w:rsidP="00D5133A">
      <w:pPr>
        <w:spacing w:before="150" w:after="150"/>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t>A small proportion of young people have multiple needs and present serious ongoing concerns to the education, health, social care and youth support services in their area. It is likely that most of these services will have offered interventions at different times in the young person's history. However, the services may not have been able to commit the necessary resources and expertise in an integrated way that achieves the desired outcomes</w:t>
      </w:r>
      <w:r>
        <w:rPr>
          <w:rFonts w:ascii="Calibri" w:eastAsia="Times New Roman" w:hAnsi="Calibri" w:cs="Calibri"/>
          <w:color w:val="000000"/>
          <w:sz w:val="27"/>
          <w:szCs w:val="27"/>
          <w:lang w:eastAsia="en-GB"/>
        </w:rPr>
        <w:t xml:space="preserve"> or the best progress possible </w:t>
      </w:r>
      <w:r w:rsidRPr="00D5133A">
        <w:rPr>
          <w:rFonts w:ascii="Calibri" w:eastAsia="Times New Roman" w:hAnsi="Calibri" w:cs="Calibri"/>
          <w:color w:val="000000"/>
          <w:sz w:val="27"/>
          <w:szCs w:val="27"/>
          <w:lang w:eastAsia="en-GB"/>
        </w:rPr>
        <w:t xml:space="preserve">. Some </w:t>
      </w:r>
      <w:r>
        <w:rPr>
          <w:rFonts w:ascii="Calibri" w:eastAsia="Times New Roman" w:hAnsi="Calibri" w:cs="Calibri"/>
          <w:color w:val="000000"/>
          <w:sz w:val="27"/>
          <w:szCs w:val="27"/>
          <w:lang w:eastAsia="en-GB"/>
        </w:rPr>
        <w:t xml:space="preserve">children’s </w:t>
      </w:r>
      <w:r w:rsidRPr="00D5133A">
        <w:rPr>
          <w:rFonts w:ascii="Calibri" w:eastAsia="Times New Roman" w:hAnsi="Calibri" w:cs="Calibri"/>
          <w:color w:val="000000"/>
          <w:sz w:val="27"/>
          <w:szCs w:val="27"/>
          <w:lang w:eastAsia="en-GB"/>
        </w:rPr>
        <w:t>cases have become 'stuck' and in a small number the consequences have been tragic as risks have spiralled.</w:t>
      </w:r>
    </w:p>
    <w:p w14:paraId="187CAD2A" w14:textId="1E083605" w:rsidR="00D5133A" w:rsidRPr="00D5133A" w:rsidRDefault="00D5133A" w:rsidP="00D5133A">
      <w:pPr>
        <w:spacing w:before="150" w:after="150"/>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t>The purpose of setting up the complex </w:t>
      </w:r>
      <w:r>
        <w:rPr>
          <w:rFonts w:ascii="Calibri" w:eastAsia="Times New Roman" w:hAnsi="Calibri" w:cs="Calibri"/>
          <w:color w:val="000000"/>
          <w:sz w:val="27"/>
          <w:szCs w:val="27"/>
          <w:lang w:eastAsia="en-GB"/>
        </w:rPr>
        <w:t>child</w:t>
      </w:r>
      <w:r w:rsidRPr="00D5133A">
        <w:rPr>
          <w:rFonts w:ascii="Calibri" w:eastAsia="Times New Roman" w:hAnsi="Calibri" w:cs="Calibri"/>
          <w:color w:val="000000"/>
          <w:sz w:val="27"/>
          <w:szCs w:val="27"/>
          <w:lang w:eastAsia="en-GB"/>
        </w:rPr>
        <w:t xml:space="preserve"> panel </w:t>
      </w:r>
      <w:r>
        <w:rPr>
          <w:rFonts w:ascii="Calibri" w:eastAsia="Times New Roman" w:hAnsi="Calibri" w:cs="Calibri"/>
          <w:color w:val="000000"/>
          <w:sz w:val="27"/>
          <w:szCs w:val="27"/>
          <w:lang w:eastAsia="en-GB"/>
        </w:rPr>
        <w:t>wa</w:t>
      </w:r>
      <w:r w:rsidRPr="00D5133A">
        <w:rPr>
          <w:rFonts w:ascii="Calibri" w:eastAsia="Times New Roman" w:hAnsi="Calibri" w:cs="Calibri"/>
          <w:color w:val="000000"/>
          <w:sz w:val="27"/>
          <w:szCs w:val="27"/>
          <w:lang w:eastAsia="en-GB"/>
        </w:rPr>
        <w:t>s to enable managers to realise and share their responsibility for the whole young person</w:t>
      </w:r>
      <w:bookmarkStart w:id="0" w:name="_Hlk68787360"/>
      <w:r w:rsidRPr="00D5133A">
        <w:rPr>
          <w:rFonts w:ascii="Calibri" w:eastAsia="Times New Roman" w:hAnsi="Calibri" w:cs="Calibri"/>
          <w:color w:val="000000"/>
          <w:sz w:val="27"/>
          <w:szCs w:val="27"/>
          <w:lang w:eastAsia="en-GB"/>
        </w:rPr>
        <w:t>, and to avoid taking a reactive stance along specialist divisions.</w:t>
      </w:r>
    </w:p>
    <w:bookmarkEnd w:id="0"/>
    <w:p w14:paraId="1E9913DB" w14:textId="6CF52BB5" w:rsidR="00D5133A" w:rsidRPr="00D5133A" w:rsidRDefault="00D5133A" w:rsidP="00D5133A">
      <w:pPr>
        <w:spacing w:before="150" w:after="150"/>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t>Where inter-agency planning</w:t>
      </w:r>
      <w:r w:rsidRPr="00BD1E87">
        <w:rPr>
          <w:rFonts w:ascii="Calibri" w:eastAsia="Times New Roman" w:hAnsi="Calibri" w:cs="Calibri"/>
          <w:color w:val="000000"/>
          <w:sz w:val="27"/>
          <w:szCs w:val="27"/>
          <w:lang w:eastAsia="en-GB"/>
        </w:rPr>
        <w:t xml:space="preserve"> </w:t>
      </w:r>
      <w:r w:rsidR="00BD1E87">
        <w:rPr>
          <w:rFonts w:ascii="Calibri" w:eastAsia="Times New Roman" w:hAnsi="Calibri" w:cs="Calibri"/>
          <w:color w:val="000000"/>
          <w:sz w:val="27"/>
          <w:szCs w:val="27"/>
          <w:lang w:eastAsia="en-GB"/>
        </w:rPr>
        <w:t xml:space="preserve">fora, </w:t>
      </w:r>
      <w:r w:rsidRPr="00D5133A">
        <w:rPr>
          <w:rFonts w:ascii="Calibri" w:eastAsia="Times New Roman" w:hAnsi="Calibri" w:cs="Calibri"/>
          <w:color w:val="000000"/>
          <w:sz w:val="27"/>
          <w:szCs w:val="27"/>
          <w:lang w:eastAsia="en-GB"/>
        </w:rPr>
        <w:t>such as </w:t>
      </w:r>
      <w:hyperlink r:id="rId19" w:tgtFrame="_blank" w:history="1">
        <w:r w:rsidRPr="00D5133A">
          <w:rPr>
            <w:rFonts w:ascii="Calibri" w:eastAsia="Times New Roman" w:hAnsi="Calibri" w:cs="Calibri"/>
            <w:b/>
            <w:bCs/>
            <w:color w:val="253E8A"/>
            <w:sz w:val="27"/>
            <w:szCs w:val="27"/>
            <w:u w:val="single"/>
            <w:lang w:eastAsia="en-GB"/>
          </w:rPr>
          <w:t>Core Groups</w:t>
        </w:r>
      </w:hyperlink>
      <w:r w:rsidRPr="00D5133A">
        <w:rPr>
          <w:rFonts w:ascii="Calibri" w:eastAsia="Times New Roman" w:hAnsi="Calibri" w:cs="Calibri"/>
          <w:color w:val="000000"/>
          <w:sz w:val="27"/>
          <w:szCs w:val="27"/>
          <w:lang w:eastAsia="en-GB"/>
        </w:rPr>
        <w:t>, </w:t>
      </w:r>
      <w:hyperlink r:id="rId20" w:tgtFrame="_blank" w:history="1">
        <w:r w:rsidRPr="00D5133A">
          <w:rPr>
            <w:rFonts w:ascii="Calibri" w:eastAsia="Times New Roman" w:hAnsi="Calibri" w:cs="Calibri"/>
            <w:b/>
            <w:bCs/>
            <w:color w:val="253E8A"/>
            <w:sz w:val="27"/>
            <w:szCs w:val="27"/>
            <w:u w:val="single"/>
            <w:lang w:eastAsia="en-GB"/>
          </w:rPr>
          <w:t>Child Protection Conferences</w:t>
        </w:r>
      </w:hyperlink>
      <w:r w:rsidRPr="00D5133A">
        <w:rPr>
          <w:rFonts w:ascii="Calibri" w:eastAsia="Times New Roman" w:hAnsi="Calibri" w:cs="Calibri"/>
          <w:color w:val="000000"/>
          <w:sz w:val="27"/>
          <w:szCs w:val="27"/>
          <w:lang w:eastAsia="en-GB"/>
        </w:rPr>
        <w:t>, children </w:t>
      </w:r>
      <w:hyperlink r:id="rId21" w:tgtFrame="_blank" w:history="1">
        <w:r w:rsidRPr="00D5133A">
          <w:rPr>
            <w:rFonts w:ascii="Calibri" w:eastAsia="Times New Roman" w:hAnsi="Calibri" w:cs="Calibri"/>
            <w:b/>
            <w:bCs/>
            <w:color w:val="253E8A"/>
            <w:sz w:val="27"/>
            <w:szCs w:val="27"/>
            <w:u w:val="single"/>
            <w:lang w:eastAsia="en-GB"/>
          </w:rPr>
          <w:t>Looked After Reviews</w:t>
        </w:r>
      </w:hyperlink>
      <w:r w:rsidRPr="00D5133A">
        <w:rPr>
          <w:rFonts w:ascii="Calibri" w:eastAsia="Times New Roman" w:hAnsi="Calibri" w:cs="Calibri"/>
          <w:color w:val="000000"/>
          <w:sz w:val="27"/>
          <w:szCs w:val="27"/>
          <w:lang w:eastAsia="en-GB"/>
        </w:rPr>
        <w:t> or Teams Around the Child have not made sufficient progress to r</w:t>
      </w:r>
      <w:bookmarkStart w:id="1" w:name="_GoBack"/>
      <w:bookmarkEnd w:id="1"/>
      <w:r w:rsidRPr="00D5133A">
        <w:rPr>
          <w:rFonts w:ascii="Calibri" w:eastAsia="Times New Roman" w:hAnsi="Calibri" w:cs="Calibri"/>
          <w:color w:val="000000"/>
          <w:sz w:val="27"/>
          <w:szCs w:val="27"/>
          <w:lang w:eastAsia="en-GB"/>
        </w:rPr>
        <w:t>educe risk and secure improved outcomes</w:t>
      </w:r>
      <w:r w:rsidR="00CD3331">
        <w:rPr>
          <w:rFonts w:ascii="Calibri" w:eastAsia="Times New Roman" w:hAnsi="Calibri" w:cs="Calibri"/>
          <w:color w:val="000000"/>
          <w:sz w:val="27"/>
          <w:szCs w:val="27"/>
          <w:lang w:eastAsia="en-GB"/>
        </w:rPr>
        <w:t>,</w:t>
      </w:r>
      <w:r w:rsidRPr="00D5133A">
        <w:rPr>
          <w:rFonts w:ascii="Calibri" w:eastAsia="Times New Roman" w:hAnsi="Calibri" w:cs="Calibri"/>
          <w:color w:val="000000"/>
          <w:sz w:val="27"/>
          <w:szCs w:val="27"/>
          <w:lang w:eastAsia="en-GB"/>
        </w:rPr>
        <w:t xml:space="preserve"> professionals should recourse to independent chairs/reviewing officers to raise their concerns and this should lead to renewed action to address the concerns.</w:t>
      </w:r>
      <w:r>
        <w:rPr>
          <w:rFonts w:ascii="Calibri" w:eastAsia="Times New Roman" w:hAnsi="Calibri" w:cs="Calibri"/>
          <w:color w:val="000000"/>
          <w:sz w:val="27"/>
          <w:szCs w:val="27"/>
          <w:lang w:eastAsia="en-GB"/>
        </w:rPr>
        <w:t xml:space="preserve"> Equally, consideration should be given to whether the child’s plan fulfils the statutory or local remit of another procedure or panel that considers both </w:t>
      </w:r>
      <w:r>
        <w:rPr>
          <w:rFonts w:ascii="Calibri" w:eastAsia="Times New Roman" w:hAnsi="Calibri" w:cs="Calibri"/>
          <w:color w:val="000000"/>
          <w:sz w:val="27"/>
          <w:szCs w:val="27"/>
          <w:lang w:eastAsia="en-GB"/>
        </w:rPr>
        <w:lastRenderedPageBreak/>
        <w:t>eligibility and provision, either single or multi-agency.</w:t>
      </w:r>
      <w:r w:rsidRPr="00D5133A">
        <w:rPr>
          <w:rFonts w:ascii="Calibri" w:eastAsia="Times New Roman" w:hAnsi="Calibri" w:cs="Calibri"/>
          <w:color w:val="000000"/>
          <w:sz w:val="27"/>
          <w:szCs w:val="27"/>
          <w:lang w:eastAsia="en-GB"/>
        </w:rPr>
        <w:t xml:space="preserve">  In a proportion of cases, the decision may be taken to initiate court proceedings</w:t>
      </w:r>
      <w:r w:rsidR="00EB5414">
        <w:rPr>
          <w:rFonts w:ascii="Calibri" w:eastAsia="Times New Roman" w:hAnsi="Calibri" w:cs="Calibri"/>
          <w:color w:val="000000"/>
          <w:sz w:val="27"/>
          <w:szCs w:val="27"/>
          <w:lang w:eastAsia="en-GB"/>
        </w:rPr>
        <w:t>,</w:t>
      </w:r>
      <w:r w:rsidRPr="00D5133A">
        <w:rPr>
          <w:rFonts w:ascii="Calibri" w:eastAsia="Times New Roman" w:hAnsi="Calibri" w:cs="Calibri"/>
          <w:color w:val="000000"/>
          <w:sz w:val="27"/>
          <w:szCs w:val="27"/>
          <w:lang w:eastAsia="en-GB"/>
        </w:rPr>
        <w:t xml:space="preserve"> and this </w:t>
      </w:r>
      <w:r>
        <w:rPr>
          <w:rFonts w:ascii="Calibri" w:eastAsia="Times New Roman" w:hAnsi="Calibri" w:cs="Calibri"/>
          <w:color w:val="000000"/>
          <w:sz w:val="27"/>
          <w:szCs w:val="27"/>
          <w:lang w:eastAsia="en-GB"/>
        </w:rPr>
        <w:t xml:space="preserve">provides the court’s oversight </w:t>
      </w:r>
      <w:r w:rsidRPr="00D5133A">
        <w:rPr>
          <w:rFonts w:ascii="Calibri" w:eastAsia="Times New Roman" w:hAnsi="Calibri" w:cs="Calibri"/>
          <w:color w:val="000000"/>
          <w:sz w:val="27"/>
          <w:szCs w:val="27"/>
          <w:lang w:eastAsia="en-GB"/>
        </w:rPr>
        <w:t>towards the desired outcomes for the child.</w:t>
      </w:r>
      <w:r>
        <w:rPr>
          <w:rFonts w:ascii="Calibri" w:eastAsia="Times New Roman" w:hAnsi="Calibri" w:cs="Calibri"/>
          <w:color w:val="000000"/>
          <w:sz w:val="27"/>
          <w:szCs w:val="27"/>
          <w:lang w:eastAsia="en-GB"/>
        </w:rPr>
        <w:t xml:space="preserve"> </w:t>
      </w:r>
      <w:r w:rsidRPr="00D5133A">
        <w:rPr>
          <w:rFonts w:ascii="Calibri" w:eastAsia="Times New Roman" w:hAnsi="Calibri" w:cs="Calibri"/>
          <w:color w:val="000000"/>
          <w:sz w:val="27"/>
          <w:szCs w:val="27"/>
          <w:lang w:eastAsia="en-GB"/>
        </w:rPr>
        <w:t>In some cases</w:t>
      </w:r>
      <w:r>
        <w:rPr>
          <w:rFonts w:ascii="Calibri" w:eastAsia="Times New Roman" w:hAnsi="Calibri" w:cs="Calibri"/>
          <w:color w:val="000000"/>
          <w:sz w:val="27"/>
          <w:szCs w:val="27"/>
          <w:lang w:eastAsia="en-GB"/>
        </w:rPr>
        <w:t>,</w:t>
      </w:r>
      <w:r w:rsidRPr="00D5133A">
        <w:rPr>
          <w:rFonts w:ascii="Calibri" w:eastAsia="Times New Roman" w:hAnsi="Calibri" w:cs="Calibri"/>
          <w:color w:val="000000"/>
          <w:sz w:val="27"/>
          <w:szCs w:val="27"/>
          <w:lang w:eastAsia="en-GB"/>
        </w:rPr>
        <w:t xml:space="preserve"> this route will not be appropriate or will not have been effective in ensuring the child's safety.</w:t>
      </w:r>
      <w:r>
        <w:rPr>
          <w:rFonts w:ascii="Calibri" w:eastAsia="Times New Roman" w:hAnsi="Calibri" w:cs="Calibri"/>
          <w:color w:val="000000"/>
          <w:sz w:val="27"/>
          <w:szCs w:val="27"/>
          <w:lang w:eastAsia="en-GB"/>
        </w:rPr>
        <w:t xml:space="preserve"> W</w:t>
      </w:r>
      <w:r w:rsidRPr="00D5133A">
        <w:rPr>
          <w:rFonts w:ascii="Calibri" w:eastAsia="Times New Roman" w:hAnsi="Calibri" w:cs="Calibri"/>
          <w:color w:val="000000"/>
          <w:sz w:val="27"/>
          <w:szCs w:val="27"/>
          <w:lang w:eastAsia="en-GB"/>
        </w:rPr>
        <w:t xml:space="preserve">hen these 'normal' processes have been tried and the risks to the child's safety or outcomes persist, there should be an escalation process that ensures scrutiny, expertise and multi-agency accountability at </w:t>
      </w:r>
      <w:r w:rsidR="00CD3331">
        <w:rPr>
          <w:rFonts w:ascii="Calibri" w:eastAsia="Times New Roman" w:hAnsi="Calibri" w:cs="Calibri"/>
          <w:color w:val="000000"/>
          <w:sz w:val="27"/>
          <w:szCs w:val="27"/>
          <w:lang w:eastAsia="en-GB"/>
        </w:rPr>
        <w:t xml:space="preserve">a </w:t>
      </w:r>
      <w:r w:rsidRPr="00D5133A">
        <w:rPr>
          <w:rFonts w:ascii="Calibri" w:eastAsia="Times New Roman" w:hAnsi="Calibri" w:cs="Calibri"/>
          <w:color w:val="000000"/>
          <w:sz w:val="27"/>
          <w:szCs w:val="27"/>
          <w:lang w:eastAsia="en-GB"/>
        </w:rPr>
        <w:t>senior level.</w:t>
      </w:r>
    </w:p>
    <w:p w14:paraId="719B721A" w14:textId="08C288C5" w:rsidR="00D5133A" w:rsidRPr="00D5133A" w:rsidRDefault="00D5133A" w:rsidP="00D5133A">
      <w:pPr>
        <w:spacing w:before="150" w:after="150"/>
        <w:rPr>
          <w:rFonts w:ascii="Calibri" w:eastAsia="Times New Roman" w:hAnsi="Calibri" w:cs="Calibri"/>
          <w:color w:val="000000"/>
          <w:sz w:val="27"/>
          <w:szCs w:val="27"/>
          <w:lang w:eastAsia="en-GB"/>
        </w:rPr>
      </w:pPr>
      <w:r>
        <w:rPr>
          <w:rFonts w:ascii="Calibri" w:eastAsia="Times New Roman" w:hAnsi="Calibri" w:cs="Calibri"/>
          <w:color w:val="000000"/>
          <w:sz w:val="27"/>
          <w:szCs w:val="27"/>
          <w:lang w:eastAsia="en-GB"/>
        </w:rPr>
        <w:t xml:space="preserve">Over a decade ago, </w:t>
      </w:r>
      <w:r w:rsidRPr="00D5133A">
        <w:rPr>
          <w:rFonts w:ascii="Calibri" w:eastAsia="Times New Roman" w:hAnsi="Calibri" w:cs="Calibri"/>
          <w:color w:val="000000"/>
          <w:sz w:val="27"/>
          <w:szCs w:val="27"/>
          <w:lang w:eastAsia="en-GB"/>
        </w:rPr>
        <w:t>Oxfordshire Safeguarding Children Board approved the proposal to set up a multi-agency advisory process. The process ensures that senior managers and 'experts' become more involved in overseeing risk management, the resolution of disputes and providing consultation or resources and thereby increase senior accountability for achieving improved outcomes.</w:t>
      </w:r>
    </w:p>
    <w:p w14:paraId="2873FDB0" w14:textId="0BD8F302" w:rsidR="00D5133A" w:rsidRPr="00D5133A" w:rsidRDefault="00F2743E" w:rsidP="00D5133A">
      <w:pPr>
        <w:pBdr>
          <w:bottom w:val="single" w:sz="6" w:space="0" w:color="439CB1"/>
        </w:pBdr>
        <w:outlineLvl w:val="2"/>
        <w:rPr>
          <w:rFonts w:ascii="Calibri" w:eastAsia="Times New Roman" w:hAnsi="Calibri" w:cs="Calibri"/>
          <w:b/>
          <w:bCs/>
          <w:color w:val="000000"/>
          <w:sz w:val="31"/>
          <w:szCs w:val="31"/>
          <w:lang w:eastAsia="en-GB"/>
        </w:rPr>
      </w:pPr>
      <w:r>
        <w:rPr>
          <w:rFonts w:ascii="Calibri" w:eastAsia="Times New Roman" w:hAnsi="Calibri" w:cs="Calibri"/>
          <w:b/>
          <w:bCs/>
          <w:color w:val="000000"/>
          <w:sz w:val="31"/>
          <w:szCs w:val="31"/>
          <w:lang w:eastAsia="en-GB"/>
        </w:rPr>
        <w:t>2</w:t>
      </w:r>
      <w:r w:rsidR="00D5133A" w:rsidRPr="00D5133A">
        <w:rPr>
          <w:rFonts w:ascii="Calibri" w:eastAsia="Times New Roman" w:hAnsi="Calibri" w:cs="Calibri"/>
          <w:b/>
          <w:bCs/>
          <w:color w:val="000000"/>
          <w:sz w:val="31"/>
          <w:szCs w:val="31"/>
          <w:lang w:eastAsia="en-GB"/>
        </w:rPr>
        <w:t xml:space="preserve">. Governance </w:t>
      </w:r>
      <w:r w:rsidR="00B028BC">
        <w:rPr>
          <w:rFonts w:ascii="Calibri" w:eastAsia="Times New Roman" w:hAnsi="Calibri" w:cs="Calibri"/>
          <w:b/>
          <w:bCs/>
          <w:color w:val="000000"/>
          <w:sz w:val="31"/>
          <w:szCs w:val="31"/>
          <w:lang w:eastAsia="en-GB"/>
        </w:rPr>
        <w:t>a</w:t>
      </w:r>
      <w:r w:rsidR="00D5133A" w:rsidRPr="00D5133A">
        <w:rPr>
          <w:rFonts w:ascii="Calibri" w:eastAsia="Times New Roman" w:hAnsi="Calibri" w:cs="Calibri"/>
          <w:b/>
          <w:bCs/>
          <w:color w:val="000000"/>
          <w:sz w:val="31"/>
          <w:szCs w:val="31"/>
          <w:lang w:eastAsia="en-GB"/>
        </w:rPr>
        <w:t>rrangements</w:t>
      </w:r>
    </w:p>
    <w:p w14:paraId="04D8106C" w14:textId="137E5B73" w:rsidR="00D5133A" w:rsidRPr="00D5133A" w:rsidRDefault="00D5133A" w:rsidP="00D5133A">
      <w:pPr>
        <w:spacing w:before="150" w:after="150"/>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t>Oxfordshire Safeguarding Children's Board oversees these arrangements by agreeing to:</w:t>
      </w:r>
    </w:p>
    <w:p w14:paraId="4321B48D" w14:textId="738DA33F" w:rsidR="00D5133A" w:rsidRDefault="00D5133A" w:rsidP="00D5133A">
      <w:pPr>
        <w:numPr>
          <w:ilvl w:val="0"/>
          <w:numId w:val="4"/>
        </w:numPr>
        <w:spacing w:before="150" w:after="100" w:afterAutospacing="1"/>
        <w:rPr>
          <w:rFonts w:ascii="Calibri" w:eastAsia="Times New Roman" w:hAnsi="Calibri" w:cs="Calibri"/>
          <w:color w:val="000000"/>
          <w:sz w:val="27"/>
          <w:szCs w:val="27"/>
          <w:lang w:eastAsia="en-GB"/>
        </w:rPr>
      </w:pPr>
      <w:r>
        <w:rPr>
          <w:rFonts w:ascii="Calibri" w:eastAsia="Times New Roman" w:hAnsi="Calibri" w:cs="Calibri"/>
          <w:color w:val="000000"/>
          <w:sz w:val="27"/>
          <w:szCs w:val="27"/>
          <w:lang w:eastAsia="en-GB"/>
        </w:rPr>
        <w:t>Endorse the Complex Child Panel and process</w:t>
      </w:r>
    </w:p>
    <w:p w14:paraId="1F8D9FD0" w14:textId="5B54F04A" w:rsidR="00D5133A" w:rsidRPr="00D5133A" w:rsidRDefault="00D5133A" w:rsidP="00B931F7">
      <w:pPr>
        <w:numPr>
          <w:ilvl w:val="0"/>
          <w:numId w:val="4"/>
        </w:numPr>
        <w:spacing w:before="150" w:after="100" w:afterAutospacing="1"/>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t>Regularly review, through an annual report to the Board, whether</w:t>
      </w:r>
      <w:r>
        <w:rPr>
          <w:rFonts w:ascii="Calibri" w:eastAsia="Times New Roman" w:hAnsi="Calibri" w:cs="Calibri"/>
          <w:color w:val="000000"/>
          <w:sz w:val="27"/>
          <w:szCs w:val="27"/>
          <w:lang w:eastAsia="en-GB"/>
        </w:rPr>
        <w:t xml:space="preserve"> </w:t>
      </w:r>
      <w:r w:rsidRPr="00D5133A">
        <w:rPr>
          <w:rFonts w:ascii="Calibri" w:eastAsia="Times New Roman" w:hAnsi="Calibri" w:cs="Calibri"/>
          <w:color w:val="000000"/>
          <w:sz w:val="27"/>
          <w:szCs w:val="27"/>
          <w:lang w:eastAsia="en-GB"/>
        </w:rPr>
        <w:t>the panel is achieving its intended impact on individual cases</w:t>
      </w:r>
    </w:p>
    <w:p w14:paraId="73624EA8" w14:textId="77777777" w:rsidR="00D5133A" w:rsidRPr="00D5133A" w:rsidRDefault="00D5133A" w:rsidP="00D5133A">
      <w:pPr>
        <w:numPr>
          <w:ilvl w:val="0"/>
          <w:numId w:val="4"/>
        </w:numPr>
        <w:spacing w:before="150" w:after="100" w:afterAutospacing="1"/>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t>Update guidance as required;</w:t>
      </w:r>
    </w:p>
    <w:p w14:paraId="1D7073FD" w14:textId="5C96B954" w:rsidR="00D5133A" w:rsidRPr="00D5133A" w:rsidRDefault="00D5133A" w:rsidP="00D5133A">
      <w:pPr>
        <w:numPr>
          <w:ilvl w:val="0"/>
          <w:numId w:val="4"/>
        </w:numPr>
        <w:spacing w:before="150" w:after="100" w:afterAutospacing="1"/>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t>Identify</w:t>
      </w:r>
      <w:r>
        <w:rPr>
          <w:rFonts w:ascii="Calibri" w:eastAsia="Times New Roman" w:hAnsi="Calibri" w:cs="Calibri"/>
          <w:color w:val="000000"/>
          <w:sz w:val="27"/>
          <w:szCs w:val="27"/>
          <w:lang w:eastAsia="en-GB"/>
        </w:rPr>
        <w:t xml:space="preserve"> safeguarding themes and</w:t>
      </w:r>
      <w:r w:rsidRPr="00D5133A">
        <w:rPr>
          <w:rFonts w:ascii="Calibri" w:eastAsia="Times New Roman" w:hAnsi="Calibri" w:cs="Calibri"/>
          <w:color w:val="000000"/>
          <w:sz w:val="27"/>
          <w:szCs w:val="27"/>
          <w:lang w:eastAsia="en-GB"/>
        </w:rPr>
        <w:t xml:space="preserve"> gaps in</w:t>
      </w:r>
      <w:r>
        <w:rPr>
          <w:rFonts w:ascii="Calibri" w:eastAsia="Times New Roman" w:hAnsi="Calibri" w:cs="Calibri"/>
          <w:color w:val="000000"/>
          <w:sz w:val="27"/>
          <w:szCs w:val="27"/>
          <w:lang w:eastAsia="en-GB"/>
        </w:rPr>
        <w:t xml:space="preserve"> practice/</w:t>
      </w:r>
      <w:r w:rsidRPr="00D5133A">
        <w:rPr>
          <w:rFonts w:ascii="Calibri" w:eastAsia="Times New Roman" w:hAnsi="Calibri" w:cs="Calibri"/>
          <w:color w:val="000000"/>
          <w:sz w:val="27"/>
          <w:szCs w:val="27"/>
          <w:lang w:eastAsia="en-GB"/>
        </w:rPr>
        <w:t>commissioning</w:t>
      </w:r>
    </w:p>
    <w:p w14:paraId="7E1E70D2" w14:textId="624CF6A4" w:rsidR="00D5133A" w:rsidRPr="00D5133A" w:rsidRDefault="00D5133A" w:rsidP="00D5133A">
      <w:pPr>
        <w:numPr>
          <w:ilvl w:val="0"/>
          <w:numId w:val="4"/>
        </w:numPr>
        <w:spacing w:before="150" w:after="100" w:afterAutospacing="1"/>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t>Identify</w:t>
      </w:r>
      <w:r>
        <w:rPr>
          <w:rFonts w:ascii="Calibri" w:eastAsia="Times New Roman" w:hAnsi="Calibri" w:cs="Calibri"/>
          <w:color w:val="000000"/>
          <w:sz w:val="27"/>
          <w:szCs w:val="27"/>
          <w:lang w:eastAsia="en-GB"/>
        </w:rPr>
        <w:t xml:space="preserve"> learning for wider dissemination</w:t>
      </w:r>
    </w:p>
    <w:p w14:paraId="70DB262A" w14:textId="77777777" w:rsidR="00D5133A" w:rsidRPr="00D5133A" w:rsidRDefault="00D5133A" w:rsidP="00D5133A">
      <w:pPr>
        <w:pBdr>
          <w:bottom w:val="single" w:sz="6" w:space="0" w:color="439CB1"/>
        </w:pBdr>
        <w:outlineLvl w:val="2"/>
        <w:rPr>
          <w:rFonts w:ascii="Calibri" w:eastAsia="Times New Roman" w:hAnsi="Calibri" w:cs="Calibri"/>
          <w:b/>
          <w:bCs/>
          <w:color w:val="000000"/>
          <w:sz w:val="31"/>
          <w:szCs w:val="31"/>
          <w:lang w:eastAsia="en-GB"/>
        </w:rPr>
      </w:pPr>
      <w:r w:rsidRPr="00D5133A">
        <w:rPr>
          <w:rFonts w:ascii="Calibri" w:eastAsia="Times New Roman" w:hAnsi="Calibri" w:cs="Calibri"/>
          <w:b/>
          <w:bCs/>
          <w:color w:val="000000"/>
          <w:sz w:val="31"/>
          <w:szCs w:val="31"/>
          <w:lang w:eastAsia="en-GB"/>
        </w:rPr>
        <w:t>4. Purpose</w:t>
      </w:r>
    </w:p>
    <w:p w14:paraId="22541F75" w14:textId="77777777" w:rsidR="00D5133A" w:rsidRPr="00D5133A" w:rsidRDefault="00D5133A" w:rsidP="00D5133A">
      <w:pPr>
        <w:spacing w:before="150" w:after="150"/>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t>The Panel's objective is to improve inter-agency risk management of children and young people.</w:t>
      </w:r>
    </w:p>
    <w:p w14:paraId="10478B45" w14:textId="3D9EDAEE" w:rsidR="00D5133A" w:rsidRPr="00D5133A" w:rsidRDefault="00D5133A" w:rsidP="00D5133A">
      <w:pPr>
        <w:spacing w:before="150" w:after="150"/>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t>The Complex C</w:t>
      </w:r>
      <w:r>
        <w:rPr>
          <w:rFonts w:ascii="Calibri" w:eastAsia="Times New Roman" w:hAnsi="Calibri" w:cs="Calibri"/>
          <w:color w:val="000000"/>
          <w:sz w:val="27"/>
          <w:szCs w:val="27"/>
          <w:lang w:eastAsia="en-GB"/>
        </w:rPr>
        <w:t>hild</w:t>
      </w:r>
      <w:r w:rsidRPr="00D5133A">
        <w:rPr>
          <w:rFonts w:ascii="Calibri" w:eastAsia="Times New Roman" w:hAnsi="Calibri" w:cs="Calibri"/>
          <w:color w:val="000000"/>
          <w:sz w:val="27"/>
          <w:szCs w:val="27"/>
          <w:lang w:eastAsia="en-GB"/>
        </w:rPr>
        <w:t> Panel is a senior level multi-agency advice and consultation group. Its function is operational, but it has the ability to recognise wider service or policy gaps so that strategic work can be taken forward in other forms.</w:t>
      </w:r>
    </w:p>
    <w:p w14:paraId="23B69FA6" w14:textId="57E6AAC0" w:rsidR="00D5133A" w:rsidRPr="00D5133A" w:rsidRDefault="00D5133A" w:rsidP="00D5133A">
      <w:pPr>
        <w:pBdr>
          <w:bottom w:val="single" w:sz="6" w:space="0" w:color="439CB1"/>
        </w:pBdr>
        <w:outlineLvl w:val="2"/>
        <w:rPr>
          <w:rFonts w:ascii="Calibri" w:eastAsia="Times New Roman" w:hAnsi="Calibri" w:cs="Calibri"/>
          <w:b/>
          <w:bCs/>
          <w:color w:val="000000"/>
          <w:sz w:val="31"/>
          <w:szCs w:val="31"/>
          <w:lang w:eastAsia="en-GB"/>
        </w:rPr>
      </w:pPr>
      <w:r w:rsidRPr="00D5133A">
        <w:rPr>
          <w:rFonts w:ascii="Calibri" w:eastAsia="Times New Roman" w:hAnsi="Calibri" w:cs="Calibri"/>
          <w:b/>
          <w:bCs/>
          <w:color w:val="000000"/>
          <w:sz w:val="31"/>
          <w:szCs w:val="31"/>
          <w:lang w:eastAsia="en-GB"/>
        </w:rPr>
        <w:t xml:space="preserve">5. Deciding </w:t>
      </w:r>
      <w:r w:rsidR="00CD3331">
        <w:rPr>
          <w:rFonts w:ascii="Calibri" w:eastAsia="Times New Roman" w:hAnsi="Calibri" w:cs="Calibri"/>
          <w:b/>
          <w:bCs/>
          <w:color w:val="000000"/>
          <w:sz w:val="31"/>
          <w:szCs w:val="31"/>
          <w:lang w:eastAsia="en-GB"/>
        </w:rPr>
        <w:t>w</w:t>
      </w:r>
      <w:r w:rsidRPr="00D5133A">
        <w:rPr>
          <w:rFonts w:ascii="Calibri" w:eastAsia="Times New Roman" w:hAnsi="Calibri" w:cs="Calibri"/>
          <w:b/>
          <w:bCs/>
          <w:color w:val="000000"/>
          <w:sz w:val="31"/>
          <w:szCs w:val="31"/>
          <w:lang w:eastAsia="en-GB"/>
        </w:rPr>
        <w:t xml:space="preserve">hich </w:t>
      </w:r>
      <w:r w:rsidR="00CD3331">
        <w:rPr>
          <w:rFonts w:ascii="Calibri" w:eastAsia="Times New Roman" w:hAnsi="Calibri" w:cs="Calibri"/>
          <w:b/>
          <w:bCs/>
          <w:color w:val="000000"/>
          <w:sz w:val="31"/>
          <w:szCs w:val="31"/>
          <w:lang w:eastAsia="en-GB"/>
        </w:rPr>
        <w:t>p</w:t>
      </w:r>
      <w:r w:rsidRPr="00D5133A">
        <w:rPr>
          <w:rFonts w:ascii="Calibri" w:eastAsia="Times New Roman" w:hAnsi="Calibri" w:cs="Calibri"/>
          <w:b/>
          <w:bCs/>
          <w:color w:val="000000"/>
          <w:sz w:val="31"/>
          <w:szCs w:val="31"/>
          <w:lang w:eastAsia="en-GB"/>
        </w:rPr>
        <w:t xml:space="preserve">anel to </w:t>
      </w:r>
      <w:r w:rsidR="00CD3331">
        <w:rPr>
          <w:rFonts w:ascii="Calibri" w:eastAsia="Times New Roman" w:hAnsi="Calibri" w:cs="Calibri"/>
          <w:b/>
          <w:bCs/>
          <w:color w:val="000000"/>
          <w:sz w:val="31"/>
          <w:szCs w:val="31"/>
          <w:lang w:eastAsia="en-GB"/>
        </w:rPr>
        <w:t>u</w:t>
      </w:r>
      <w:r w:rsidRPr="00D5133A">
        <w:rPr>
          <w:rFonts w:ascii="Calibri" w:eastAsia="Times New Roman" w:hAnsi="Calibri" w:cs="Calibri"/>
          <w:b/>
          <w:bCs/>
          <w:color w:val="000000"/>
          <w:sz w:val="31"/>
          <w:szCs w:val="31"/>
          <w:lang w:eastAsia="en-GB"/>
        </w:rPr>
        <w:t>se</w:t>
      </w:r>
    </w:p>
    <w:p w14:paraId="30176505" w14:textId="77777777" w:rsidR="00D5133A" w:rsidRPr="00D5133A" w:rsidRDefault="00D5133A" w:rsidP="00D5133A">
      <w:pPr>
        <w:spacing w:before="150" w:after="150"/>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t>The Panel functions alongside other high level groups which have a particular focus.</w:t>
      </w:r>
    </w:p>
    <w:p w14:paraId="0C8B2FC2" w14:textId="77777777" w:rsidR="00D5133A" w:rsidRPr="00D5133A" w:rsidRDefault="00D5133A" w:rsidP="00D5133A">
      <w:pPr>
        <w:spacing w:before="150" w:after="150"/>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t>Examples of these are:</w:t>
      </w:r>
    </w:p>
    <w:p w14:paraId="3A029200" w14:textId="6D9A42F7" w:rsidR="00D5133A" w:rsidRDefault="00D5133A" w:rsidP="00D5133A">
      <w:pPr>
        <w:numPr>
          <w:ilvl w:val="0"/>
          <w:numId w:val="5"/>
        </w:numPr>
        <w:spacing w:before="150" w:after="100" w:afterAutospacing="1"/>
        <w:rPr>
          <w:rFonts w:ascii="Calibri" w:eastAsia="Times New Roman" w:hAnsi="Calibri" w:cs="Calibri"/>
          <w:color w:val="000000"/>
          <w:sz w:val="27"/>
          <w:szCs w:val="27"/>
          <w:lang w:eastAsia="en-GB"/>
        </w:rPr>
      </w:pPr>
      <w:r>
        <w:rPr>
          <w:rFonts w:ascii="Calibri" w:eastAsia="Times New Roman" w:hAnsi="Calibri" w:cs="Calibri"/>
          <w:color w:val="000000"/>
          <w:sz w:val="27"/>
          <w:szCs w:val="27"/>
          <w:lang w:eastAsia="en-GB"/>
        </w:rPr>
        <w:t>Entry to Care Panel: considers requests and recent admissions to care and provides oversight of risk management arrangements for use of unregistered care, where this is unavoidable</w:t>
      </w:r>
    </w:p>
    <w:p w14:paraId="52B3EF21" w14:textId="5207EC06" w:rsidR="00D5133A" w:rsidRPr="00D5133A" w:rsidRDefault="00D5133A" w:rsidP="00D5133A">
      <w:pPr>
        <w:numPr>
          <w:ilvl w:val="0"/>
          <w:numId w:val="5"/>
        </w:numPr>
        <w:spacing w:before="150" w:after="100" w:afterAutospacing="1"/>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lastRenderedPageBreak/>
        <w:t>Placement &amp; Commissioning Panel: approves placements and packages of care for children with complex needs</w:t>
      </w:r>
    </w:p>
    <w:p w14:paraId="5BE9B408" w14:textId="14F68A68" w:rsidR="00D5133A" w:rsidRPr="00D5133A" w:rsidRDefault="00D5133A" w:rsidP="00D5133A">
      <w:pPr>
        <w:numPr>
          <w:ilvl w:val="0"/>
          <w:numId w:val="5"/>
        </w:numPr>
        <w:spacing w:before="150" w:after="100" w:afterAutospacing="1"/>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t>Multi-Agency Public Protection Arrangements (MAPPA): reviews the risks posed by individual adults and young people in the community</w:t>
      </w:r>
    </w:p>
    <w:p w14:paraId="2FAC7817" w14:textId="512884A8" w:rsidR="00D5133A" w:rsidRPr="00D5133A" w:rsidRDefault="00D5133A" w:rsidP="00D5133A">
      <w:pPr>
        <w:numPr>
          <w:ilvl w:val="0"/>
          <w:numId w:val="5"/>
        </w:numPr>
        <w:spacing w:before="150" w:after="100" w:afterAutospacing="1"/>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t>Legal Panel (Children, Education &amp; Families): considers whether cases have reached the threshold for s31 care proceedings</w:t>
      </w:r>
    </w:p>
    <w:p w14:paraId="0687D463" w14:textId="12419EC7" w:rsidR="00D5133A" w:rsidRPr="00D5133A" w:rsidRDefault="00D5133A" w:rsidP="00D5133A">
      <w:pPr>
        <w:spacing w:before="150" w:after="150"/>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t>None of these panels preclude the use of the Complex C</w:t>
      </w:r>
      <w:r>
        <w:rPr>
          <w:rFonts w:ascii="Calibri" w:eastAsia="Times New Roman" w:hAnsi="Calibri" w:cs="Calibri"/>
          <w:color w:val="000000"/>
          <w:sz w:val="27"/>
          <w:szCs w:val="27"/>
          <w:lang w:eastAsia="en-GB"/>
        </w:rPr>
        <w:t>hild</w:t>
      </w:r>
      <w:r w:rsidRPr="00D5133A">
        <w:rPr>
          <w:rFonts w:ascii="Calibri" w:eastAsia="Times New Roman" w:hAnsi="Calibri" w:cs="Calibri"/>
          <w:color w:val="000000"/>
          <w:sz w:val="27"/>
          <w:szCs w:val="27"/>
          <w:lang w:eastAsia="en-GB"/>
        </w:rPr>
        <w:t> Panel. However, professionals/managers considering a referral should have regard to:</w:t>
      </w:r>
    </w:p>
    <w:p w14:paraId="23EB9F20" w14:textId="7A74E240" w:rsidR="00D5133A" w:rsidRPr="00D5133A" w:rsidRDefault="00D5133A" w:rsidP="00D5133A">
      <w:pPr>
        <w:numPr>
          <w:ilvl w:val="0"/>
          <w:numId w:val="6"/>
        </w:numPr>
        <w:spacing w:before="150" w:after="100" w:afterAutospacing="1"/>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t>Statutory guidance and local procedures that apply to the case and other panels/processes established to manage them. These should be accessed before the Complex C</w:t>
      </w:r>
      <w:r>
        <w:rPr>
          <w:rFonts w:ascii="Calibri" w:eastAsia="Times New Roman" w:hAnsi="Calibri" w:cs="Calibri"/>
          <w:color w:val="000000"/>
          <w:sz w:val="27"/>
          <w:szCs w:val="27"/>
          <w:lang w:eastAsia="en-GB"/>
        </w:rPr>
        <w:t>hild</w:t>
      </w:r>
      <w:r w:rsidRPr="00D5133A">
        <w:rPr>
          <w:rFonts w:ascii="Calibri" w:eastAsia="Times New Roman" w:hAnsi="Calibri" w:cs="Calibri"/>
          <w:color w:val="000000"/>
          <w:sz w:val="27"/>
          <w:szCs w:val="27"/>
          <w:lang w:eastAsia="en-GB"/>
        </w:rPr>
        <w:t> Panel</w:t>
      </w:r>
    </w:p>
    <w:p w14:paraId="21445B34" w14:textId="126E7AF7" w:rsidR="00D5133A" w:rsidRPr="00D5133A" w:rsidRDefault="00D5133A" w:rsidP="00D5133A">
      <w:pPr>
        <w:numPr>
          <w:ilvl w:val="0"/>
          <w:numId w:val="6"/>
        </w:numPr>
        <w:spacing w:before="150" w:after="100" w:afterAutospacing="1"/>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t>The risk management remit of the Complex C</w:t>
      </w:r>
      <w:r>
        <w:rPr>
          <w:rFonts w:ascii="Calibri" w:eastAsia="Times New Roman" w:hAnsi="Calibri" w:cs="Calibri"/>
          <w:color w:val="000000"/>
          <w:sz w:val="27"/>
          <w:szCs w:val="27"/>
          <w:lang w:eastAsia="en-GB"/>
        </w:rPr>
        <w:t>hild</w:t>
      </w:r>
      <w:r w:rsidRPr="00D5133A">
        <w:rPr>
          <w:rFonts w:ascii="Calibri" w:eastAsia="Times New Roman" w:hAnsi="Calibri" w:cs="Calibri"/>
          <w:color w:val="000000"/>
          <w:sz w:val="27"/>
          <w:szCs w:val="27"/>
          <w:lang w:eastAsia="en-GB"/>
        </w:rPr>
        <w:t> Panel</w:t>
      </w:r>
      <w:r>
        <w:rPr>
          <w:rFonts w:ascii="Calibri" w:eastAsia="Times New Roman" w:hAnsi="Calibri" w:cs="Calibri"/>
          <w:color w:val="000000"/>
          <w:sz w:val="27"/>
          <w:szCs w:val="27"/>
          <w:lang w:eastAsia="en-GB"/>
        </w:rPr>
        <w:t xml:space="preserve">, which does not include approval to place a child or matching of </w:t>
      </w:r>
      <w:r w:rsidR="00D07AF9">
        <w:rPr>
          <w:rFonts w:ascii="Calibri" w:eastAsia="Times New Roman" w:hAnsi="Calibri" w:cs="Calibri"/>
          <w:color w:val="000000"/>
          <w:sz w:val="27"/>
          <w:szCs w:val="27"/>
          <w:lang w:eastAsia="en-GB"/>
        </w:rPr>
        <w:t xml:space="preserve">a </w:t>
      </w:r>
      <w:r>
        <w:rPr>
          <w:rFonts w:ascii="Calibri" w:eastAsia="Times New Roman" w:hAnsi="Calibri" w:cs="Calibri"/>
          <w:color w:val="000000"/>
          <w:sz w:val="27"/>
          <w:szCs w:val="27"/>
          <w:lang w:eastAsia="en-GB"/>
        </w:rPr>
        <w:t>child to placement</w:t>
      </w:r>
    </w:p>
    <w:p w14:paraId="566BA5CB" w14:textId="47315BE5" w:rsidR="00D5133A" w:rsidRPr="00D5133A" w:rsidRDefault="00D5133A" w:rsidP="00D5133A">
      <w:pPr>
        <w:pBdr>
          <w:bottom w:val="single" w:sz="6" w:space="0" w:color="439CB1"/>
        </w:pBdr>
        <w:outlineLvl w:val="2"/>
        <w:rPr>
          <w:rFonts w:ascii="Calibri" w:eastAsia="Times New Roman" w:hAnsi="Calibri" w:cs="Calibri"/>
          <w:b/>
          <w:bCs/>
          <w:color w:val="000000"/>
          <w:sz w:val="31"/>
          <w:szCs w:val="31"/>
          <w:lang w:eastAsia="en-GB"/>
        </w:rPr>
      </w:pPr>
      <w:r w:rsidRPr="00D5133A">
        <w:rPr>
          <w:rFonts w:ascii="Calibri" w:eastAsia="Times New Roman" w:hAnsi="Calibri" w:cs="Calibri"/>
          <w:b/>
          <w:bCs/>
          <w:color w:val="000000"/>
          <w:sz w:val="31"/>
          <w:szCs w:val="31"/>
          <w:lang w:eastAsia="en-GB"/>
        </w:rPr>
        <w:t>6. Case </w:t>
      </w:r>
      <w:r w:rsidR="00D07AF9">
        <w:rPr>
          <w:rFonts w:ascii="Calibri" w:eastAsia="Times New Roman" w:hAnsi="Calibri" w:cs="Calibri"/>
          <w:b/>
          <w:bCs/>
          <w:color w:val="000000"/>
          <w:sz w:val="31"/>
          <w:szCs w:val="31"/>
          <w:lang w:eastAsia="en-GB"/>
        </w:rPr>
        <w:t>r</w:t>
      </w:r>
      <w:r w:rsidRPr="00D5133A">
        <w:rPr>
          <w:rFonts w:ascii="Calibri" w:eastAsia="Times New Roman" w:hAnsi="Calibri" w:cs="Calibri"/>
          <w:b/>
          <w:bCs/>
          <w:color w:val="000000"/>
          <w:sz w:val="31"/>
          <w:szCs w:val="31"/>
          <w:lang w:eastAsia="en-GB"/>
        </w:rPr>
        <w:t>esponsibility</w:t>
      </w:r>
    </w:p>
    <w:p w14:paraId="7AC436A8" w14:textId="3BB46F76" w:rsidR="00D5133A" w:rsidRPr="00D5133A" w:rsidRDefault="00D5133A" w:rsidP="00D5133A">
      <w:pPr>
        <w:spacing w:before="150" w:after="150"/>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t>C</w:t>
      </w:r>
      <w:r>
        <w:rPr>
          <w:rFonts w:ascii="Calibri" w:eastAsia="Times New Roman" w:hAnsi="Calibri" w:cs="Calibri"/>
          <w:color w:val="000000"/>
          <w:sz w:val="27"/>
          <w:szCs w:val="27"/>
          <w:lang w:eastAsia="en-GB"/>
        </w:rPr>
        <w:t xml:space="preserve">hildren’s </w:t>
      </w:r>
      <w:r w:rsidR="00EB5414">
        <w:rPr>
          <w:rFonts w:ascii="Calibri" w:eastAsia="Times New Roman" w:hAnsi="Calibri" w:cs="Calibri"/>
          <w:color w:val="000000"/>
          <w:sz w:val="27"/>
          <w:szCs w:val="27"/>
          <w:lang w:eastAsia="en-GB"/>
        </w:rPr>
        <w:t>c</w:t>
      </w:r>
      <w:r w:rsidRPr="00D5133A">
        <w:rPr>
          <w:rFonts w:ascii="Calibri" w:eastAsia="Times New Roman" w:hAnsi="Calibri" w:cs="Calibri"/>
          <w:color w:val="000000"/>
          <w:sz w:val="27"/>
          <w:szCs w:val="27"/>
          <w:lang w:eastAsia="en-GB"/>
        </w:rPr>
        <w:t>ases are brought to the Panel for discussion by managers, practitioners and clinicians with case responsibility. The Panel does not supersede or take-over case responsibility, this remains unchanged.</w:t>
      </w:r>
    </w:p>
    <w:p w14:paraId="5471CA09" w14:textId="572F4C23" w:rsidR="00D5133A" w:rsidRPr="00D5133A" w:rsidRDefault="00D5133A" w:rsidP="00D5133A">
      <w:pPr>
        <w:pBdr>
          <w:bottom w:val="single" w:sz="6" w:space="0" w:color="439CB1"/>
        </w:pBdr>
        <w:outlineLvl w:val="2"/>
        <w:rPr>
          <w:rFonts w:ascii="Calibri" w:eastAsia="Times New Roman" w:hAnsi="Calibri" w:cs="Calibri"/>
          <w:b/>
          <w:bCs/>
          <w:color w:val="000000"/>
          <w:sz w:val="31"/>
          <w:szCs w:val="31"/>
          <w:lang w:eastAsia="en-GB"/>
        </w:rPr>
      </w:pPr>
      <w:r w:rsidRPr="00D5133A">
        <w:rPr>
          <w:rFonts w:ascii="Calibri" w:eastAsia="Times New Roman" w:hAnsi="Calibri" w:cs="Calibri"/>
          <w:b/>
          <w:bCs/>
          <w:color w:val="000000"/>
          <w:sz w:val="31"/>
          <w:szCs w:val="31"/>
          <w:lang w:eastAsia="en-GB"/>
        </w:rPr>
        <w:t>7. Complex </w:t>
      </w:r>
      <w:r w:rsidR="00D07AF9">
        <w:rPr>
          <w:rFonts w:ascii="Calibri" w:eastAsia="Times New Roman" w:hAnsi="Calibri" w:cs="Calibri"/>
          <w:b/>
          <w:bCs/>
          <w:color w:val="000000"/>
          <w:sz w:val="31"/>
          <w:szCs w:val="31"/>
          <w:lang w:eastAsia="en-GB"/>
        </w:rPr>
        <w:t>c</w:t>
      </w:r>
      <w:r>
        <w:rPr>
          <w:rFonts w:ascii="Calibri" w:eastAsia="Times New Roman" w:hAnsi="Calibri" w:cs="Calibri"/>
          <w:b/>
          <w:bCs/>
          <w:color w:val="000000"/>
          <w:sz w:val="31"/>
          <w:szCs w:val="31"/>
          <w:lang w:eastAsia="en-GB"/>
        </w:rPr>
        <w:t>hild</w:t>
      </w:r>
      <w:r w:rsidRPr="00D5133A">
        <w:rPr>
          <w:rFonts w:ascii="Calibri" w:eastAsia="Times New Roman" w:hAnsi="Calibri" w:cs="Calibri"/>
          <w:b/>
          <w:bCs/>
          <w:color w:val="000000"/>
          <w:sz w:val="31"/>
          <w:szCs w:val="31"/>
          <w:lang w:eastAsia="en-GB"/>
        </w:rPr>
        <w:t> </w:t>
      </w:r>
      <w:r w:rsidR="00D07AF9">
        <w:rPr>
          <w:rFonts w:ascii="Calibri" w:eastAsia="Times New Roman" w:hAnsi="Calibri" w:cs="Calibri"/>
          <w:b/>
          <w:bCs/>
          <w:color w:val="000000"/>
          <w:sz w:val="31"/>
          <w:szCs w:val="31"/>
          <w:lang w:eastAsia="en-GB"/>
        </w:rPr>
        <w:t>p</w:t>
      </w:r>
      <w:r w:rsidRPr="00D5133A">
        <w:rPr>
          <w:rFonts w:ascii="Calibri" w:eastAsia="Times New Roman" w:hAnsi="Calibri" w:cs="Calibri"/>
          <w:b/>
          <w:bCs/>
          <w:color w:val="000000"/>
          <w:sz w:val="31"/>
          <w:szCs w:val="31"/>
          <w:lang w:eastAsia="en-GB"/>
        </w:rPr>
        <w:t xml:space="preserve">anel </w:t>
      </w:r>
      <w:r w:rsidR="00D07AF9">
        <w:rPr>
          <w:rFonts w:ascii="Calibri" w:eastAsia="Times New Roman" w:hAnsi="Calibri" w:cs="Calibri"/>
          <w:b/>
          <w:bCs/>
          <w:color w:val="000000"/>
          <w:sz w:val="31"/>
          <w:szCs w:val="31"/>
          <w:lang w:eastAsia="en-GB"/>
        </w:rPr>
        <w:t>m</w:t>
      </w:r>
      <w:r w:rsidRPr="00D5133A">
        <w:rPr>
          <w:rFonts w:ascii="Calibri" w:eastAsia="Times New Roman" w:hAnsi="Calibri" w:cs="Calibri"/>
          <w:b/>
          <w:bCs/>
          <w:color w:val="000000"/>
          <w:sz w:val="31"/>
          <w:szCs w:val="31"/>
          <w:lang w:eastAsia="en-GB"/>
        </w:rPr>
        <w:t>embership</w:t>
      </w:r>
    </w:p>
    <w:p w14:paraId="2C60909D" w14:textId="77777777" w:rsidR="00D5133A" w:rsidRPr="00D5133A" w:rsidRDefault="00D5133A" w:rsidP="00D5133A">
      <w:pPr>
        <w:spacing w:before="150" w:after="150"/>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t>Chairperson: Deputy Director, Social Care CEF or in his/her absence: Director of Children's Services, Oxford Health</w:t>
      </w:r>
    </w:p>
    <w:p w14:paraId="0F98AC9B" w14:textId="77777777" w:rsidR="00D5133A" w:rsidRPr="00D5133A" w:rsidRDefault="00D5133A" w:rsidP="00D5133A">
      <w:pPr>
        <w:outlineLvl w:val="3"/>
        <w:rPr>
          <w:rFonts w:ascii="Calibri" w:eastAsia="Times New Roman" w:hAnsi="Calibri" w:cs="Calibri"/>
          <w:b/>
          <w:bCs/>
          <w:color w:val="000000"/>
          <w:sz w:val="26"/>
          <w:szCs w:val="26"/>
          <w:lang w:eastAsia="en-GB"/>
        </w:rPr>
      </w:pPr>
      <w:r w:rsidRPr="00D5133A">
        <w:rPr>
          <w:rFonts w:ascii="Calibri" w:eastAsia="Times New Roman" w:hAnsi="Calibri" w:cs="Calibri"/>
          <w:b/>
          <w:bCs/>
          <w:color w:val="000000"/>
          <w:sz w:val="26"/>
          <w:szCs w:val="26"/>
          <w:lang w:eastAsia="en-GB"/>
        </w:rPr>
        <w:t>Members:</w:t>
      </w:r>
    </w:p>
    <w:p w14:paraId="7D0BD9ED" w14:textId="32A9DB4C" w:rsidR="00D5133A" w:rsidRDefault="00D5133A" w:rsidP="00D5133A">
      <w:pPr>
        <w:numPr>
          <w:ilvl w:val="0"/>
          <w:numId w:val="7"/>
        </w:numPr>
        <w:spacing w:before="150" w:after="100" w:afterAutospacing="1"/>
        <w:rPr>
          <w:rFonts w:ascii="Calibri" w:eastAsia="Times New Roman" w:hAnsi="Calibri" w:cs="Calibri"/>
          <w:color w:val="000000"/>
          <w:sz w:val="27"/>
          <w:szCs w:val="27"/>
          <w:lang w:eastAsia="en-GB"/>
        </w:rPr>
      </w:pPr>
      <w:r>
        <w:rPr>
          <w:rFonts w:ascii="Calibri" w:eastAsia="Times New Roman" w:hAnsi="Calibri" w:cs="Calibri"/>
          <w:color w:val="000000"/>
          <w:sz w:val="27"/>
          <w:szCs w:val="27"/>
          <w:lang w:eastAsia="en-GB"/>
        </w:rPr>
        <w:t>Deputy Director, Safeguarding and Corporate Parenting, CEF</w:t>
      </w:r>
    </w:p>
    <w:p w14:paraId="3D832616" w14:textId="7B82FC5A" w:rsidR="00D5133A" w:rsidRDefault="00D5133A" w:rsidP="00D5133A">
      <w:pPr>
        <w:numPr>
          <w:ilvl w:val="0"/>
          <w:numId w:val="7"/>
        </w:numPr>
        <w:spacing w:before="150" w:after="100" w:afterAutospacing="1"/>
        <w:rPr>
          <w:rFonts w:ascii="Calibri" w:eastAsia="Times New Roman" w:hAnsi="Calibri" w:cs="Calibri"/>
          <w:color w:val="000000"/>
          <w:sz w:val="27"/>
          <w:szCs w:val="27"/>
          <w:lang w:eastAsia="en-GB"/>
        </w:rPr>
      </w:pPr>
      <w:r>
        <w:rPr>
          <w:rFonts w:ascii="Calibri" w:eastAsia="Times New Roman" w:hAnsi="Calibri" w:cs="Calibri"/>
          <w:color w:val="000000"/>
          <w:sz w:val="27"/>
          <w:szCs w:val="27"/>
          <w:lang w:eastAsia="en-GB"/>
        </w:rPr>
        <w:t>Head of Corporate Parenting, CEF</w:t>
      </w:r>
    </w:p>
    <w:p w14:paraId="5899237B" w14:textId="65952176" w:rsidR="00D5133A" w:rsidRPr="00D5133A" w:rsidRDefault="00D5133A" w:rsidP="00D5133A">
      <w:pPr>
        <w:numPr>
          <w:ilvl w:val="0"/>
          <w:numId w:val="7"/>
        </w:numPr>
        <w:spacing w:before="150" w:after="100" w:afterAutospacing="1"/>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t>Designated Safeguarding Doctor, Oxford University Hospital Trust</w:t>
      </w:r>
    </w:p>
    <w:p w14:paraId="18BF38FC" w14:textId="7F2DD4A3" w:rsidR="00D5133A" w:rsidRPr="00D5133A" w:rsidRDefault="00D5133A" w:rsidP="00D5133A">
      <w:pPr>
        <w:numPr>
          <w:ilvl w:val="0"/>
          <w:numId w:val="7"/>
        </w:numPr>
        <w:spacing w:before="150" w:after="100" w:afterAutospacing="1"/>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t>Designated</w:t>
      </w:r>
      <w:r>
        <w:rPr>
          <w:rFonts w:ascii="Calibri" w:eastAsia="Times New Roman" w:hAnsi="Calibri" w:cs="Calibri"/>
          <w:color w:val="000000"/>
          <w:sz w:val="27"/>
          <w:szCs w:val="27"/>
          <w:lang w:eastAsia="en-GB"/>
        </w:rPr>
        <w:t xml:space="preserve"> Nurse for Looked After Children</w:t>
      </w:r>
      <w:r w:rsidRPr="00D5133A">
        <w:rPr>
          <w:rFonts w:ascii="Calibri" w:eastAsia="Times New Roman" w:hAnsi="Calibri" w:cs="Calibri"/>
          <w:color w:val="000000"/>
          <w:sz w:val="27"/>
          <w:szCs w:val="27"/>
          <w:lang w:eastAsia="en-GB"/>
        </w:rPr>
        <w:t>, Oxfordshire Clinical Commissioning Group</w:t>
      </w:r>
    </w:p>
    <w:p w14:paraId="2A2C84F1" w14:textId="77777777" w:rsidR="00D5133A" w:rsidRPr="00D5133A" w:rsidRDefault="00D5133A" w:rsidP="00D5133A">
      <w:pPr>
        <w:numPr>
          <w:ilvl w:val="0"/>
          <w:numId w:val="7"/>
        </w:numPr>
        <w:spacing w:before="150" w:after="100" w:afterAutospacing="1"/>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t>Clinical Lead, CAMHS, Oxford Health</w:t>
      </w:r>
    </w:p>
    <w:p w14:paraId="1C543B7E" w14:textId="215928C3" w:rsidR="00D5133A" w:rsidRDefault="00D5133A" w:rsidP="00D5133A">
      <w:pPr>
        <w:numPr>
          <w:ilvl w:val="0"/>
          <w:numId w:val="7"/>
        </w:numPr>
        <w:spacing w:before="150" w:after="100" w:afterAutospacing="1"/>
        <w:rPr>
          <w:rFonts w:ascii="Calibri" w:eastAsia="Times New Roman" w:hAnsi="Calibri" w:cs="Calibri"/>
          <w:color w:val="000000"/>
          <w:sz w:val="27"/>
          <w:szCs w:val="27"/>
          <w:lang w:eastAsia="en-GB"/>
        </w:rPr>
      </w:pPr>
      <w:r>
        <w:rPr>
          <w:rFonts w:ascii="Calibri" w:eastAsia="Times New Roman" w:hAnsi="Calibri" w:cs="Calibri"/>
          <w:color w:val="000000"/>
          <w:sz w:val="27"/>
          <w:szCs w:val="27"/>
          <w:lang w:eastAsia="en-GB"/>
        </w:rPr>
        <w:t>Service Director, CAMHS, Oxford Health</w:t>
      </w:r>
    </w:p>
    <w:p w14:paraId="69AB1D21" w14:textId="647C6F82" w:rsidR="00D5133A" w:rsidRPr="00D5133A" w:rsidRDefault="00D5133A" w:rsidP="00D5133A">
      <w:pPr>
        <w:numPr>
          <w:ilvl w:val="0"/>
          <w:numId w:val="7"/>
        </w:numPr>
        <w:spacing w:before="150" w:after="100" w:afterAutospacing="1"/>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t>Detective Inspector, P</w:t>
      </w:r>
      <w:r>
        <w:rPr>
          <w:rFonts w:ascii="Calibri" w:eastAsia="Times New Roman" w:hAnsi="Calibri" w:cs="Calibri"/>
          <w:color w:val="000000"/>
          <w:sz w:val="27"/>
          <w:szCs w:val="27"/>
          <w:lang w:eastAsia="en-GB"/>
        </w:rPr>
        <w:t>roblem-Solving Team</w:t>
      </w:r>
      <w:r w:rsidRPr="00D5133A">
        <w:rPr>
          <w:rFonts w:ascii="Calibri" w:eastAsia="Times New Roman" w:hAnsi="Calibri" w:cs="Calibri"/>
          <w:color w:val="000000"/>
          <w:sz w:val="27"/>
          <w:szCs w:val="27"/>
          <w:lang w:eastAsia="en-GB"/>
        </w:rPr>
        <w:t>,</w:t>
      </w:r>
      <w:r>
        <w:rPr>
          <w:rFonts w:ascii="Calibri" w:eastAsia="Times New Roman" w:hAnsi="Calibri" w:cs="Calibri"/>
          <w:color w:val="000000"/>
          <w:sz w:val="27"/>
          <w:szCs w:val="27"/>
          <w:lang w:eastAsia="en-GB"/>
        </w:rPr>
        <w:t xml:space="preserve"> Thames Valley</w:t>
      </w:r>
      <w:r w:rsidRPr="00D5133A">
        <w:rPr>
          <w:rFonts w:ascii="Calibri" w:eastAsia="Times New Roman" w:hAnsi="Calibri" w:cs="Calibri"/>
          <w:color w:val="000000"/>
          <w:sz w:val="27"/>
          <w:szCs w:val="27"/>
          <w:lang w:eastAsia="en-GB"/>
        </w:rPr>
        <w:t xml:space="preserve"> Police</w:t>
      </w:r>
    </w:p>
    <w:p w14:paraId="3E39450F" w14:textId="77777777" w:rsidR="00D5133A" w:rsidRPr="00D5133A" w:rsidRDefault="00D5133A" w:rsidP="00D5133A">
      <w:pPr>
        <w:numPr>
          <w:ilvl w:val="0"/>
          <w:numId w:val="7"/>
        </w:numPr>
        <w:spacing w:before="150" w:after="100" w:afterAutospacing="1"/>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t>Safeguarding Manager, CEF</w:t>
      </w:r>
    </w:p>
    <w:p w14:paraId="361B22F2" w14:textId="58967463" w:rsidR="00D5133A" w:rsidRPr="00D5133A" w:rsidRDefault="00D5133A" w:rsidP="00D5133A">
      <w:pPr>
        <w:numPr>
          <w:ilvl w:val="0"/>
          <w:numId w:val="7"/>
        </w:numPr>
        <w:spacing w:before="150" w:after="100" w:afterAutospacing="1"/>
        <w:rPr>
          <w:rFonts w:ascii="Calibri" w:eastAsia="Times New Roman" w:hAnsi="Calibri" w:cs="Calibri"/>
          <w:color w:val="000000"/>
          <w:sz w:val="27"/>
          <w:szCs w:val="27"/>
          <w:lang w:eastAsia="en-GB"/>
        </w:rPr>
      </w:pPr>
      <w:r>
        <w:rPr>
          <w:rFonts w:ascii="Calibri" w:eastAsia="Times New Roman" w:hAnsi="Calibri" w:cs="Calibri"/>
          <w:color w:val="000000"/>
          <w:sz w:val="27"/>
          <w:szCs w:val="27"/>
          <w:lang w:eastAsia="en-GB"/>
        </w:rPr>
        <w:t xml:space="preserve">Head of </w:t>
      </w:r>
      <w:r w:rsidRPr="00D5133A">
        <w:rPr>
          <w:rFonts w:ascii="Calibri" w:eastAsia="Times New Roman" w:hAnsi="Calibri" w:cs="Calibri"/>
          <w:color w:val="000000"/>
          <w:sz w:val="27"/>
          <w:szCs w:val="27"/>
          <w:lang w:eastAsia="en-GB"/>
        </w:rPr>
        <w:t>Disability</w:t>
      </w:r>
      <w:r>
        <w:rPr>
          <w:rFonts w:ascii="Calibri" w:eastAsia="Times New Roman" w:hAnsi="Calibri" w:cs="Calibri"/>
          <w:color w:val="000000"/>
          <w:sz w:val="27"/>
          <w:szCs w:val="27"/>
          <w:lang w:eastAsia="en-GB"/>
        </w:rPr>
        <w:t xml:space="preserve"> Service</w:t>
      </w:r>
      <w:r w:rsidRPr="00D5133A">
        <w:rPr>
          <w:rFonts w:ascii="Calibri" w:eastAsia="Times New Roman" w:hAnsi="Calibri" w:cs="Calibri"/>
          <w:color w:val="000000"/>
          <w:sz w:val="27"/>
          <w:szCs w:val="27"/>
          <w:lang w:eastAsia="en-GB"/>
        </w:rPr>
        <w:t>, CEF</w:t>
      </w:r>
    </w:p>
    <w:p w14:paraId="7CEA60D3" w14:textId="597969BB" w:rsidR="00D5133A" w:rsidRDefault="00D5133A" w:rsidP="00D5133A">
      <w:pPr>
        <w:numPr>
          <w:ilvl w:val="0"/>
          <w:numId w:val="7"/>
        </w:numPr>
        <w:spacing w:before="150" w:after="100" w:afterAutospacing="1"/>
        <w:rPr>
          <w:rFonts w:ascii="Calibri" w:eastAsia="Times New Roman" w:hAnsi="Calibri" w:cs="Calibri"/>
          <w:color w:val="000000"/>
          <w:sz w:val="27"/>
          <w:szCs w:val="27"/>
          <w:lang w:eastAsia="en-GB"/>
        </w:rPr>
      </w:pPr>
      <w:r>
        <w:rPr>
          <w:rFonts w:ascii="Calibri" w:eastAsia="Times New Roman" w:hAnsi="Calibri" w:cs="Calibri"/>
          <w:color w:val="000000"/>
          <w:sz w:val="27"/>
          <w:szCs w:val="27"/>
          <w:lang w:eastAsia="en-GB"/>
        </w:rPr>
        <w:t>Head of Leaving Care Service, CEF</w:t>
      </w:r>
    </w:p>
    <w:p w14:paraId="21DA21B2" w14:textId="0FEF4FEA" w:rsidR="00D5133A" w:rsidRDefault="00D5133A" w:rsidP="00D5133A">
      <w:pPr>
        <w:numPr>
          <w:ilvl w:val="0"/>
          <w:numId w:val="7"/>
        </w:numPr>
        <w:spacing w:before="150" w:after="100" w:afterAutospacing="1"/>
        <w:rPr>
          <w:rFonts w:ascii="Calibri" w:eastAsia="Times New Roman" w:hAnsi="Calibri" w:cs="Calibri"/>
          <w:color w:val="000000"/>
          <w:sz w:val="27"/>
          <w:szCs w:val="27"/>
          <w:lang w:eastAsia="en-GB"/>
        </w:rPr>
      </w:pPr>
      <w:r>
        <w:rPr>
          <w:rFonts w:ascii="Calibri" w:eastAsia="Times New Roman" w:hAnsi="Calibri" w:cs="Calibri"/>
          <w:color w:val="000000"/>
          <w:sz w:val="27"/>
          <w:szCs w:val="27"/>
          <w:lang w:eastAsia="en-GB"/>
        </w:rPr>
        <w:lastRenderedPageBreak/>
        <w:t>Head of Youth Justice and Exploitation Service, CEF</w:t>
      </w:r>
    </w:p>
    <w:p w14:paraId="27A2D9B1" w14:textId="40C5174E" w:rsidR="00D5133A" w:rsidRPr="00D5133A" w:rsidRDefault="00D5133A" w:rsidP="00D5133A">
      <w:pPr>
        <w:numPr>
          <w:ilvl w:val="0"/>
          <w:numId w:val="7"/>
        </w:numPr>
        <w:spacing w:before="150" w:after="100" w:afterAutospacing="1"/>
        <w:rPr>
          <w:rFonts w:ascii="Calibri" w:eastAsia="Times New Roman" w:hAnsi="Calibri" w:cs="Calibri"/>
          <w:color w:val="000000"/>
          <w:sz w:val="27"/>
          <w:szCs w:val="27"/>
          <w:lang w:eastAsia="en-GB"/>
        </w:rPr>
      </w:pPr>
      <w:r>
        <w:rPr>
          <w:rFonts w:ascii="Calibri" w:eastAsia="Times New Roman" w:hAnsi="Calibri" w:cs="Calibri"/>
          <w:color w:val="000000"/>
          <w:sz w:val="27"/>
          <w:szCs w:val="27"/>
          <w:lang w:eastAsia="en-GB"/>
        </w:rPr>
        <w:t xml:space="preserve">Head of </w:t>
      </w:r>
      <w:r w:rsidRPr="00D5133A">
        <w:rPr>
          <w:rFonts w:ascii="Calibri" w:eastAsia="Times New Roman" w:hAnsi="Calibri" w:cs="Calibri"/>
          <w:color w:val="000000"/>
          <w:sz w:val="27"/>
          <w:szCs w:val="27"/>
          <w:lang w:eastAsia="en-GB"/>
        </w:rPr>
        <w:t>Special Educational Needs,</w:t>
      </w:r>
      <w:r>
        <w:rPr>
          <w:rFonts w:ascii="Calibri" w:eastAsia="Times New Roman" w:hAnsi="Calibri" w:cs="Calibri"/>
          <w:color w:val="000000"/>
          <w:sz w:val="27"/>
          <w:szCs w:val="27"/>
          <w:lang w:eastAsia="en-GB"/>
        </w:rPr>
        <w:t xml:space="preserve"> sharing attendance with Head of Learner Engagement,</w:t>
      </w:r>
      <w:r w:rsidRPr="00D5133A">
        <w:rPr>
          <w:rFonts w:ascii="Calibri" w:eastAsia="Times New Roman" w:hAnsi="Calibri" w:cs="Calibri"/>
          <w:color w:val="000000"/>
          <w:sz w:val="27"/>
          <w:szCs w:val="27"/>
          <w:lang w:eastAsia="en-GB"/>
        </w:rPr>
        <w:t xml:space="preserve"> CEF</w:t>
      </w:r>
    </w:p>
    <w:p w14:paraId="2D862B2D" w14:textId="0FA6F546" w:rsidR="00D5133A" w:rsidRDefault="00D5133A" w:rsidP="00D5133A">
      <w:pPr>
        <w:numPr>
          <w:ilvl w:val="0"/>
          <w:numId w:val="7"/>
        </w:numPr>
        <w:spacing w:before="150" w:after="100" w:afterAutospacing="1"/>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t>Legal Advisor, CEF</w:t>
      </w:r>
    </w:p>
    <w:p w14:paraId="131C259F" w14:textId="30F9A78E" w:rsidR="00D5133A" w:rsidRDefault="00D5133A" w:rsidP="00D5133A">
      <w:pPr>
        <w:numPr>
          <w:ilvl w:val="0"/>
          <w:numId w:val="7"/>
        </w:numPr>
        <w:spacing w:before="150" w:after="100" w:afterAutospacing="1"/>
        <w:rPr>
          <w:rFonts w:ascii="Calibri" w:eastAsia="Times New Roman" w:hAnsi="Calibri" w:cs="Calibri"/>
          <w:color w:val="000000"/>
          <w:sz w:val="27"/>
          <w:szCs w:val="27"/>
          <w:lang w:eastAsia="en-GB"/>
        </w:rPr>
      </w:pPr>
      <w:r>
        <w:rPr>
          <w:rFonts w:ascii="Calibri" w:eastAsia="Times New Roman" w:hAnsi="Calibri" w:cs="Calibri"/>
          <w:color w:val="000000"/>
          <w:sz w:val="27"/>
          <w:szCs w:val="27"/>
          <w:lang w:eastAsia="en-GB"/>
        </w:rPr>
        <w:t>Service Manager, Adult Social Care</w:t>
      </w:r>
    </w:p>
    <w:p w14:paraId="749DCCB9" w14:textId="7BCFEA9F" w:rsidR="00D5133A" w:rsidRPr="00D5133A" w:rsidRDefault="00D5133A" w:rsidP="00D5133A">
      <w:pPr>
        <w:numPr>
          <w:ilvl w:val="0"/>
          <w:numId w:val="7"/>
        </w:numPr>
        <w:spacing w:before="150" w:after="100" w:afterAutospacing="1"/>
        <w:rPr>
          <w:rFonts w:ascii="Calibri" w:eastAsia="Times New Roman" w:hAnsi="Calibri" w:cs="Calibri"/>
          <w:color w:val="000000"/>
          <w:sz w:val="27"/>
          <w:szCs w:val="27"/>
          <w:lang w:eastAsia="en-GB"/>
        </w:rPr>
      </w:pPr>
      <w:r>
        <w:rPr>
          <w:rFonts w:ascii="Calibri" w:eastAsia="Times New Roman" w:hAnsi="Calibri" w:cs="Calibri"/>
          <w:color w:val="000000"/>
          <w:sz w:val="27"/>
          <w:szCs w:val="27"/>
          <w:lang w:eastAsia="en-GB"/>
        </w:rPr>
        <w:t>Service manager, Adult Mental Health, Oxford Health</w:t>
      </w:r>
    </w:p>
    <w:p w14:paraId="0F3328F4" w14:textId="3EB86E1F" w:rsidR="00D5133A" w:rsidRPr="00D5133A" w:rsidRDefault="00D5133A" w:rsidP="00D5133A">
      <w:pPr>
        <w:numPr>
          <w:ilvl w:val="0"/>
          <w:numId w:val="7"/>
        </w:numPr>
        <w:spacing w:before="150" w:after="100" w:afterAutospacing="1"/>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t>Other senior colleagues as required for specific case discussions. Specific invitations should be indicated on the case</w:t>
      </w:r>
      <w:r w:rsidR="00EB5414">
        <w:rPr>
          <w:rFonts w:ascii="Calibri" w:eastAsia="Times New Roman" w:hAnsi="Calibri" w:cs="Calibri"/>
          <w:color w:val="000000"/>
          <w:sz w:val="27"/>
          <w:szCs w:val="27"/>
          <w:lang w:eastAsia="en-GB"/>
        </w:rPr>
        <w:t xml:space="preserve"> </w:t>
      </w:r>
      <w:r w:rsidRPr="00D5133A">
        <w:rPr>
          <w:rFonts w:ascii="Calibri" w:eastAsia="Times New Roman" w:hAnsi="Calibri" w:cs="Calibri"/>
          <w:color w:val="000000"/>
          <w:sz w:val="27"/>
          <w:szCs w:val="27"/>
          <w:lang w:eastAsia="en-GB"/>
        </w:rPr>
        <w:t>referral form.</w:t>
      </w:r>
    </w:p>
    <w:p w14:paraId="38B6D6AF" w14:textId="4C88CBEE" w:rsidR="00D5133A" w:rsidRPr="00D5133A" w:rsidRDefault="00D5133A" w:rsidP="00D5133A">
      <w:pPr>
        <w:pBdr>
          <w:bottom w:val="single" w:sz="6" w:space="0" w:color="439CB1"/>
        </w:pBdr>
        <w:outlineLvl w:val="2"/>
        <w:rPr>
          <w:rFonts w:ascii="Calibri" w:eastAsia="Times New Roman" w:hAnsi="Calibri" w:cs="Calibri"/>
          <w:b/>
          <w:bCs/>
          <w:color w:val="000000"/>
          <w:sz w:val="31"/>
          <w:szCs w:val="31"/>
          <w:lang w:eastAsia="en-GB"/>
        </w:rPr>
      </w:pPr>
      <w:r w:rsidRPr="00D5133A">
        <w:rPr>
          <w:rFonts w:ascii="Calibri" w:eastAsia="Times New Roman" w:hAnsi="Calibri" w:cs="Calibri"/>
          <w:b/>
          <w:bCs/>
          <w:color w:val="000000"/>
          <w:sz w:val="31"/>
          <w:szCs w:val="31"/>
          <w:lang w:eastAsia="en-GB"/>
        </w:rPr>
        <w:t xml:space="preserve">8. Roles of </w:t>
      </w:r>
      <w:r w:rsidR="00D07AF9">
        <w:rPr>
          <w:rFonts w:ascii="Calibri" w:eastAsia="Times New Roman" w:hAnsi="Calibri" w:cs="Calibri"/>
          <w:b/>
          <w:bCs/>
          <w:color w:val="000000"/>
          <w:sz w:val="31"/>
          <w:szCs w:val="31"/>
          <w:lang w:eastAsia="en-GB"/>
        </w:rPr>
        <w:t>m</w:t>
      </w:r>
      <w:r w:rsidRPr="00D5133A">
        <w:rPr>
          <w:rFonts w:ascii="Calibri" w:eastAsia="Times New Roman" w:hAnsi="Calibri" w:cs="Calibri"/>
          <w:b/>
          <w:bCs/>
          <w:color w:val="000000"/>
          <w:sz w:val="31"/>
          <w:szCs w:val="31"/>
          <w:lang w:eastAsia="en-GB"/>
        </w:rPr>
        <w:t>embers</w:t>
      </w:r>
    </w:p>
    <w:p w14:paraId="5956BA56" w14:textId="77777777" w:rsidR="00D5133A" w:rsidRPr="00D5133A" w:rsidRDefault="00D5133A" w:rsidP="00D5133A">
      <w:pPr>
        <w:spacing w:before="150" w:after="150"/>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t>Members will:</w:t>
      </w:r>
    </w:p>
    <w:p w14:paraId="6F374902" w14:textId="641BEE64" w:rsidR="00D5133A" w:rsidRPr="00D5133A" w:rsidRDefault="00D5133A" w:rsidP="00D5133A">
      <w:pPr>
        <w:numPr>
          <w:ilvl w:val="0"/>
          <w:numId w:val="8"/>
        </w:numPr>
        <w:spacing w:before="150" w:after="100" w:afterAutospacing="1"/>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t>Read c</w:t>
      </w:r>
      <w:r>
        <w:rPr>
          <w:rFonts w:ascii="Calibri" w:eastAsia="Times New Roman" w:hAnsi="Calibri" w:cs="Calibri"/>
          <w:color w:val="000000"/>
          <w:sz w:val="27"/>
          <w:szCs w:val="27"/>
          <w:lang w:eastAsia="en-GB"/>
        </w:rPr>
        <w:t>hildren’s</w:t>
      </w:r>
      <w:r w:rsidRPr="00D5133A">
        <w:rPr>
          <w:rFonts w:ascii="Calibri" w:eastAsia="Times New Roman" w:hAnsi="Calibri" w:cs="Calibri"/>
          <w:color w:val="000000"/>
          <w:sz w:val="27"/>
          <w:szCs w:val="27"/>
          <w:lang w:eastAsia="en-GB"/>
        </w:rPr>
        <w:t> referrals in advance of the Panel</w:t>
      </w:r>
    </w:p>
    <w:p w14:paraId="36F8D4C7" w14:textId="1E95511D" w:rsidR="00D5133A" w:rsidRPr="00D5133A" w:rsidRDefault="00D5133A" w:rsidP="00D5133A">
      <w:pPr>
        <w:numPr>
          <w:ilvl w:val="0"/>
          <w:numId w:val="8"/>
        </w:numPr>
        <w:spacing w:before="150" w:after="100" w:afterAutospacing="1"/>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t>Research their own agency's involvement with referred c</w:t>
      </w:r>
      <w:r>
        <w:rPr>
          <w:rFonts w:ascii="Calibri" w:eastAsia="Times New Roman" w:hAnsi="Calibri" w:cs="Calibri"/>
          <w:color w:val="000000"/>
          <w:sz w:val="27"/>
          <w:szCs w:val="27"/>
          <w:lang w:eastAsia="en-GB"/>
        </w:rPr>
        <w:t>hildren</w:t>
      </w:r>
      <w:r w:rsidRPr="00D5133A">
        <w:rPr>
          <w:rFonts w:ascii="Calibri" w:eastAsia="Times New Roman" w:hAnsi="Calibri" w:cs="Calibri"/>
          <w:color w:val="000000"/>
          <w:sz w:val="27"/>
          <w:szCs w:val="27"/>
          <w:lang w:eastAsia="en-GB"/>
        </w:rPr>
        <w:t xml:space="preserve"> and bring relevant information to the Panel</w:t>
      </w:r>
    </w:p>
    <w:p w14:paraId="0307A44C" w14:textId="615596C1" w:rsidR="00D5133A" w:rsidRPr="00D5133A" w:rsidRDefault="00D5133A" w:rsidP="00D5133A">
      <w:pPr>
        <w:numPr>
          <w:ilvl w:val="0"/>
          <w:numId w:val="8"/>
        </w:numPr>
        <w:spacing w:before="150" w:after="100" w:afterAutospacing="1"/>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t>Take a solution-focussed approach to c</w:t>
      </w:r>
      <w:r>
        <w:rPr>
          <w:rFonts w:ascii="Calibri" w:eastAsia="Times New Roman" w:hAnsi="Calibri" w:cs="Calibri"/>
          <w:color w:val="000000"/>
          <w:sz w:val="27"/>
          <w:szCs w:val="27"/>
          <w:lang w:eastAsia="en-GB"/>
        </w:rPr>
        <w:t>hildren</w:t>
      </w:r>
      <w:r w:rsidRPr="00D5133A">
        <w:rPr>
          <w:rFonts w:ascii="Calibri" w:eastAsia="Times New Roman" w:hAnsi="Calibri" w:cs="Calibri"/>
          <w:color w:val="000000"/>
          <w:sz w:val="27"/>
          <w:szCs w:val="27"/>
          <w:lang w:eastAsia="en-GB"/>
        </w:rPr>
        <w:t xml:space="preserve"> discussed</w:t>
      </w:r>
      <w:r>
        <w:rPr>
          <w:rFonts w:ascii="Calibri" w:eastAsia="Times New Roman" w:hAnsi="Calibri" w:cs="Calibri"/>
          <w:color w:val="000000"/>
          <w:sz w:val="27"/>
          <w:szCs w:val="27"/>
          <w:lang w:eastAsia="en-GB"/>
        </w:rPr>
        <w:t>, demonstrating respectful challenge and support to the practitioners working directly with the children/young people</w:t>
      </w:r>
    </w:p>
    <w:p w14:paraId="5736AE75" w14:textId="1756C788" w:rsidR="00D5133A" w:rsidRPr="00D5133A" w:rsidRDefault="00D5133A" w:rsidP="00D5133A">
      <w:pPr>
        <w:numPr>
          <w:ilvl w:val="0"/>
          <w:numId w:val="8"/>
        </w:numPr>
        <w:spacing w:before="150" w:after="100" w:afterAutospacing="1"/>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t>Agree actions with clear timescales and lines of communication, before the next Panel</w:t>
      </w:r>
    </w:p>
    <w:p w14:paraId="67CF96D8" w14:textId="40150649" w:rsidR="00D5133A" w:rsidRPr="00D5133A" w:rsidRDefault="00D5133A" w:rsidP="00D5133A">
      <w:pPr>
        <w:numPr>
          <w:ilvl w:val="0"/>
          <w:numId w:val="8"/>
        </w:numPr>
        <w:spacing w:before="150" w:after="100" w:afterAutospacing="1"/>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t>Follow-up and ensure their agency's actions are completed in a timely way</w:t>
      </w:r>
    </w:p>
    <w:p w14:paraId="21DAD33B" w14:textId="4AE43082" w:rsidR="00D5133A" w:rsidRPr="00D5133A" w:rsidRDefault="00D5133A" w:rsidP="00D5133A">
      <w:pPr>
        <w:numPr>
          <w:ilvl w:val="0"/>
          <w:numId w:val="8"/>
        </w:numPr>
        <w:spacing w:before="150" w:after="100" w:afterAutospacing="1"/>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t>Where resources are recommended or committed, the appropriate internal approvals are sought and promises are kept</w:t>
      </w:r>
    </w:p>
    <w:p w14:paraId="62E65473" w14:textId="561A44EA" w:rsidR="00D5133A" w:rsidRPr="00D5133A" w:rsidRDefault="00D5133A" w:rsidP="00D5133A">
      <w:pPr>
        <w:numPr>
          <w:ilvl w:val="0"/>
          <w:numId w:val="8"/>
        </w:numPr>
        <w:spacing w:before="150" w:after="100" w:afterAutospacing="1"/>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t>Learning achieved through the Panel is disseminated to relevant teams and individuals</w:t>
      </w:r>
    </w:p>
    <w:p w14:paraId="3942ADB3" w14:textId="2C1A4CA4" w:rsidR="00D5133A" w:rsidRPr="00D5133A" w:rsidRDefault="00D5133A" w:rsidP="00D5133A">
      <w:pPr>
        <w:numPr>
          <w:ilvl w:val="0"/>
          <w:numId w:val="8"/>
        </w:numPr>
        <w:spacing w:before="150" w:after="100" w:afterAutospacing="1"/>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t>Escalate to OSCB any c</w:t>
      </w:r>
      <w:r>
        <w:rPr>
          <w:rFonts w:ascii="Calibri" w:eastAsia="Times New Roman" w:hAnsi="Calibri" w:cs="Calibri"/>
          <w:color w:val="000000"/>
          <w:sz w:val="27"/>
          <w:szCs w:val="27"/>
          <w:lang w:eastAsia="en-GB"/>
        </w:rPr>
        <w:t>hild</w:t>
      </w:r>
      <w:r w:rsidRPr="00D5133A">
        <w:rPr>
          <w:rFonts w:ascii="Calibri" w:eastAsia="Times New Roman" w:hAnsi="Calibri" w:cs="Calibri"/>
          <w:color w:val="000000"/>
          <w:sz w:val="27"/>
          <w:szCs w:val="27"/>
          <w:lang w:eastAsia="en-GB"/>
        </w:rPr>
        <w:t> wh</w:t>
      </w:r>
      <w:r>
        <w:rPr>
          <w:rFonts w:ascii="Calibri" w:eastAsia="Times New Roman" w:hAnsi="Calibri" w:cs="Calibri"/>
          <w:color w:val="000000"/>
          <w:sz w:val="27"/>
          <w:szCs w:val="27"/>
          <w:lang w:eastAsia="en-GB"/>
        </w:rPr>
        <w:t>o</w:t>
      </w:r>
      <w:r w:rsidRPr="00D5133A">
        <w:rPr>
          <w:rFonts w:ascii="Calibri" w:eastAsia="Times New Roman" w:hAnsi="Calibri" w:cs="Calibri"/>
          <w:color w:val="000000"/>
          <w:sz w:val="27"/>
          <w:szCs w:val="27"/>
          <w:lang w:eastAsia="en-GB"/>
        </w:rPr>
        <w:t xml:space="preserve"> meets the criteria for a formal review </w:t>
      </w:r>
      <w:r>
        <w:rPr>
          <w:rFonts w:ascii="Calibri" w:eastAsia="Times New Roman" w:hAnsi="Calibri" w:cs="Calibri"/>
          <w:color w:val="000000"/>
          <w:sz w:val="27"/>
          <w:szCs w:val="27"/>
          <w:lang w:eastAsia="en-GB"/>
        </w:rPr>
        <w:t xml:space="preserve">by </w:t>
      </w:r>
      <w:r w:rsidRPr="00D5133A">
        <w:rPr>
          <w:rFonts w:ascii="Calibri" w:eastAsia="Times New Roman" w:hAnsi="Calibri" w:cs="Calibri"/>
          <w:color w:val="000000"/>
          <w:sz w:val="27"/>
          <w:szCs w:val="27"/>
          <w:lang w:eastAsia="en-GB"/>
        </w:rPr>
        <w:t xml:space="preserve">the </w:t>
      </w:r>
      <w:r>
        <w:rPr>
          <w:rFonts w:ascii="Calibri" w:eastAsia="Times New Roman" w:hAnsi="Calibri" w:cs="Calibri"/>
          <w:color w:val="000000"/>
          <w:sz w:val="27"/>
          <w:szCs w:val="27"/>
          <w:lang w:eastAsia="en-GB"/>
        </w:rPr>
        <w:t>Child Safeguarding Practice Review Group</w:t>
      </w:r>
    </w:p>
    <w:p w14:paraId="4E0E7169" w14:textId="3C3A3441" w:rsidR="00D5133A" w:rsidRPr="00D5133A" w:rsidRDefault="00D5133A" w:rsidP="00D5133A">
      <w:pPr>
        <w:pBdr>
          <w:bottom w:val="single" w:sz="6" w:space="0" w:color="439CB1"/>
        </w:pBdr>
        <w:outlineLvl w:val="2"/>
        <w:rPr>
          <w:rFonts w:ascii="Calibri" w:eastAsia="Times New Roman" w:hAnsi="Calibri" w:cs="Calibri"/>
          <w:b/>
          <w:bCs/>
          <w:color w:val="000000"/>
          <w:sz w:val="31"/>
          <w:szCs w:val="31"/>
          <w:lang w:eastAsia="en-GB"/>
        </w:rPr>
      </w:pPr>
      <w:r w:rsidRPr="00D5133A">
        <w:rPr>
          <w:rFonts w:ascii="Calibri" w:eastAsia="Times New Roman" w:hAnsi="Calibri" w:cs="Calibri"/>
          <w:b/>
          <w:bCs/>
          <w:color w:val="000000"/>
          <w:sz w:val="31"/>
          <w:szCs w:val="31"/>
          <w:lang w:eastAsia="en-GB"/>
        </w:rPr>
        <w:t xml:space="preserve">9. Frequency of </w:t>
      </w:r>
      <w:r w:rsidR="00D07AF9">
        <w:rPr>
          <w:rFonts w:ascii="Calibri" w:eastAsia="Times New Roman" w:hAnsi="Calibri" w:cs="Calibri"/>
          <w:b/>
          <w:bCs/>
          <w:color w:val="000000"/>
          <w:sz w:val="31"/>
          <w:szCs w:val="31"/>
          <w:lang w:eastAsia="en-GB"/>
        </w:rPr>
        <w:t>p</w:t>
      </w:r>
      <w:r w:rsidRPr="00D5133A">
        <w:rPr>
          <w:rFonts w:ascii="Calibri" w:eastAsia="Times New Roman" w:hAnsi="Calibri" w:cs="Calibri"/>
          <w:b/>
          <w:bCs/>
          <w:color w:val="000000"/>
          <w:sz w:val="31"/>
          <w:szCs w:val="31"/>
          <w:lang w:eastAsia="en-GB"/>
        </w:rPr>
        <w:t xml:space="preserve">anel </w:t>
      </w:r>
      <w:r w:rsidR="00D07AF9">
        <w:rPr>
          <w:rFonts w:ascii="Calibri" w:eastAsia="Times New Roman" w:hAnsi="Calibri" w:cs="Calibri"/>
          <w:b/>
          <w:bCs/>
          <w:color w:val="000000"/>
          <w:sz w:val="31"/>
          <w:szCs w:val="31"/>
          <w:lang w:eastAsia="en-GB"/>
        </w:rPr>
        <w:t>m</w:t>
      </w:r>
      <w:r w:rsidRPr="00D5133A">
        <w:rPr>
          <w:rFonts w:ascii="Calibri" w:eastAsia="Times New Roman" w:hAnsi="Calibri" w:cs="Calibri"/>
          <w:b/>
          <w:bCs/>
          <w:color w:val="000000"/>
          <w:sz w:val="31"/>
          <w:szCs w:val="31"/>
          <w:lang w:eastAsia="en-GB"/>
        </w:rPr>
        <w:t>eetings</w:t>
      </w:r>
    </w:p>
    <w:p w14:paraId="1B21AAA1" w14:textId="77777777" w:rsidR="00D5133A" w:rsidRPr="00D5133A" w:rsidRDefault="00D5133A" w:rsidP="00D5133A">
      <w:pPr>
        <w:spacing w:before="150" w:after="150"/>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t>Meetings will take place on an ongoing bi-monthly basis.</w:t>
      </w:r>
    </w:p>
    <w:p w14:paraId="759BA206" w14:textId="1FA8EF47" w:rsidR="00D5133A" w:rsidRPr="00D5133A" w:rsidRDefault="00D5133A" w:rsidP="00D5133A">
      <w:pPr>
        <w:pBdr>
          <w:bottom w:val="single" w:sz="6" w:space="0" w:color="439CB1"/>
        </w:pBdr>
        <w:outlineLvl w:val="2"/>
        <w:rPr>
          <w:rFonts w:ascii="Calibri" w:eastAsia="Times New Roman" w:hAnsi="Calibri" w:cs="Calibri"/>
          <w:b/>
          <w:bCs/>
          <w:color w:val="000000"/>
          <w:sz w:val="31"/>
          <w:szCs w:val="31"/>
          <w:lang w:eastAsia="en-GB"/>
        </w:rPr>
      </w:pPr>
      <w:r w:rsidRPr="00D5133A">
        <w:rPr>
          <w:rFonts w:ascii="Calibri" w:eastAsia="Times New Roman" w:hAnsi="Calibri" w:cs="Calibri"/>
          <w:b/>
          <w:bCs/>
          <w:color w:val="000000"/>
          <w:sz w:val="31"/>
          <w:szCs w:val="31"/>
          <w:lang w:eastAsia="en-GB"/>
        </w:rPr>
        <w:t>10. Criteria for </w:t>
      </w:r>
      <w:r w:rsidR="00D07AF9">
        <w:rPr>
          <w:rFonts w:ascii="Calibri" w:eastAsia="Times New Roman" w:hAnsi="Calibri" w:cs="Calibri"/>
          <w:b/>
          <w:bCs/>
          <w:color w:val="000000"/>
          <w:sz w:val="31"/>
          <w:szCs w:val="31"/>
          <w:lang w:eastAsia="en-GB"/>
        </w:rPr>
        <w:t>c</w:t>
      </w:r>
      <w:r w:rsidRPr="00D5133A">
        <w:rPr>
          <w:rFonts w:ascii="Calibri" w:eastAsia="Times New Roman" w:hAnsi="Calibri" w:cs="Calibri"/>
          <w:b/>
          <w:bCs/>
          <w:color w:val="000000"/>
          <w:sz w:val="31"/>
          <w:szCs w:val="31"/>
          <w:lang w:eastAsia="en-GB"/>
        </w:rPr>
        <w:t>omplex </w:t>
      </w:r>
      <w:r w:rsidR="00D07AF9">
        <w:rPr>
          <w:rFonts w:ascii="Calibri" w:eastAsia="Times New Roman" w:hAnsi="Calibri" w:cs="Calibri"/>
          <w:b/>
          <w:bCs/>
          <w:color w:val="000000"/>
          <w:sz w:val="31"/>
          <w:szCs w:val="31"/>
          <w:lang w:eastAsia="en-GB"/>
        </w:rPr>
        <w:t>c</w:t>
      </w:r>
      <w:r>
        <w:rPr>
          <w:rFonts w:ascii="Calibri" w:eastAsia="Times New Roman" w:hAnsi="Calibri" w:cs="Calibri"/>
          <w:b/>
          <w:bCs/>
          <w:color w:val="000000"/>
          <w:sz w:val="31"/>
          <w:szCs w:val="31"/>
          <w:lang w:eastAsia="en-GB"/>
        </w:rPr>
        <w:t>hild</w:t>
      </w:r>
      <w:r w:rsidRPr="00D5133A">
        <w:rPr>
          <w:rFonts w:ascii="Calibri" w:eastAsia="Times New Roman" w:hAnsi="Calibri" w:cs="Calibri"/>
          <w:b/>
          <w:bCs/>
          <w:color w:val="000000"/>
          <w:sz w:val="31"/>
          <w:szCs w:val="31"/>
          <w:lang w:eastAsia="en-GB"/>
        </w:rPr>
        <w:t> </w:t>
      </w:r>
      <w:r w:rsidR="00D07AF9">
        <w:rPr>
          <w:rFonts w:ascii="Calibri" w:eastAsia="Times New Roman" w:hAnsi="Calibri" w:cs="Calibri"/>
          <w:b/>
          <w:bCs/>
          <w:color w:val="000000"/>
          <w:sz w:val="31"/>
          <w:szCs w:val="31"/>
          <w:lang w:eastAsia="en-GB"/>
        </w:rPr>
        <w:t>p</w:t>
      </w:r>
      <w:r w:rsidRPr="00D5133A">
        <w:rPr>
          <w:rFonts w:ascii="Calibri" w:eastAsia="Times New Roman" w:hAnsi="Calibri" w:cs="Calibri"/>
          <w:b/>
          <w:bCs/>
          <w:color w:val="000000"/>
          <w:sz w:val="31"/>
          <w:szCs w:val="31"/>
          <w:lang w:eastAsia="en-GB"/>
        </w:rPr>
        <w:t>lanning</w:t>
      </w:r>
    </w:p>
    <w:p w14:paraId="6EA3C194" w14:textId="25757A21" w:rsidR="00D5133A" w:rsidRPr="00D5133A" w:rsidRDefault="00D5133A" w:rsidP="00D5133A">
      <w:pPr>
        <w:spacing w:before="150" w:after="150"/>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t>The process seeks to deliver a flexible, multi-agency response for children and young people whose planned outcomes are not being achieved</w:t>
      </w:r>
      <w:r>
        <w:rPr>
          <w:rFonts w:ascii="Calibri" w:eastAsia="Times New Roman" w:hAnsi="Calibri" w:cs="Calibri"/>
          <w:color w:val="000000"/>
          <w:sz w:val="27"/>
          <w:szCs w:val="27"/>
          <w:lang w:eastAsia="en-GB"/>
        </w:rPr>
        <w:t>,</w:t>
      </w:r>
      <w:r w:rsidRPr="00D5133A">
        <w:rPr>
          <w:rFonts w:ascii="Calibri" w:eastAsia="Times New Roman" w:hAnsi="Calibri" w:cs="Calibri"/>
          <w:color w:val="000000"/>
          <w:sz w:val="27"/>
          <w:szCs w:val="27"/>
          <w:lang w:eastAsia="en-GB"/>
        </w:rPr>
        <w:t xml:space="preserve"> despite the best efforts of the inter-agency group</w:t>
      </w:r>
      <w:r>
        <w:rPr>
          <w:rFonts w:ascii="Calibri" w:eastAsia="Times New Roman" w:hAnsi="Calibri" w:cs="Calibri"/>
          <w:color w:val="000000"/>
          <w:sz w:val="27"/>
          <w:szCs w:val="27"/>
          <w:lang w:eastAsia="en-GB"/>
        </w:rPr>
        <w:t xml:space="preserve"> implementing the child’s plan</w:t>
      </w:r>
      <w:r w:rsidRPr="00D5133A">
        <w:rPr>
          <w:rFonts w:ascii="Calibri" w:eastAsia="Times New Roman" w:hAnsi="Calibri" w:cs="Calibri"/>
          <w:color w:val="000000"/>
          <w:sz w:val="27"/>
          <w:szCs w:val="27"/>
          <w:lang w:eastAsia="en-GB"/>
        </w:rPr>
        <w:t>. For example:</w:t>
      </w:r>
    </w:p>
    <w:p w14:paraId="1B463F48" w14:textId="138C7593" w:rsidR="00D5133A" w:rsidRPr="00D5133A" w:rsidRDefault="00D5133A" w:rsidP="00D5133A">
      <w:pPr>
        <w:numPr>
          <w:ilvl w:val="0"/>
          <w:numId w:val="9"/>
        </w:numPr>
        <w:spacing w:before="150" w:after="100" w:afterAutospacing="1"/>
        <w:rPr>
          <w:rFonts w:ascii="Calibri" w:eastAsia="Times New Roman" w:hAnsi="Calibri" w:cs="Calibri"/>
          <w:color w:val="000000"/>
          <w:sz w:val="27"/>
          <w:szCs w:val="27"/>
          <w:lang w:eastAsia="en-GB"/>
        </w:rPr>
      </w:pPr>
      <w:r w:rsidRPr="00D5133A">
        <w:rPr>
          <w:rFonts w:ascii="Calibri" w:eastAsia="Times New Roman" w:hAnsi="Calibri" w:cs="Calibri"/>
          <w:b/>
          <w:bCs/>
          <w:color w:val="000000"/>
          <w:sz w:val="27"/>
          <w:szCs w:val="27"/>
          <w:lang w:eastAsia="en-GB"/>
        </w:rPr>
        <w:lastRenderedPageBreak/>
        <w:t>Neglect</w:t>
      </w:r>
      <w:r w:rsidRPr="00D5133A">
        <w:rPr>
          <w:rFonts w:ascii="Calibri" w:eastAsia="Times New Roman" w:hAnsi="Calibri" w:cs="Calibri"/>
          <w:color w:val="000000"/>
          <w:sz w:val="27"/>
          <w:szCs w:val="27"/>
          <w:lang w:eastAsia="en-GB"/>
        </w:rPr>
        <w:t>: c</w:t>
      </w:r>
      <w:r>
        <w:rPr>
          <w:rFonts w:ascii="Calibri" w:eastAsia="Times New Roman" w:hAnsi="Calibri" w:cs="Calibri"/>
          <w:color w:val="000000"/>
          <w:sz w:val="27"/>
          <w:szCs w:val="27"/>
          <w:lang w:eastAsia="en-GB"/>
        </w:rPr>
        <w:t>hildren</w:t>
      </w:r>
      <w:r w:rsidRPr="00D5133A">
        <w:rPr>
          <w:rFonts w:ascii="Calibri" w:eastAsia="Times New Roman" w:hAnsi="Calibri" w:cs="Calibri"/>
          <w:color w:val="000000"/>
          <w:sz w:val="27"/>
          <w:szCs w:val="27"/>
          <w:lang w:eastAsia="en-GB"/>
        </w:rPr>
        <w:t xml:space="preserve"> with a </w:t>
      </w:r>
      <w:hyperlink r:id="rId22" w:tgtFrame="_blank" w:history="1">
        <w:r w:rsidRPr="00D5133A">
          <w:rPr>
            <w:rFonts w:ascii="Calibri" w:eastAsia="Times New Roman" w:hAnsi="Calibri" w:cs="Calibri"/>
            <w:b/>
            <w:bCs/>
            <w:color w:val="253E8A"/>
            <w:sz w:val="27"/>
            <w:szCs w:val="27"/>
            <w:u w:val="single"/>
            <w:lang w:eastAsia="en-GB"/>
          </w:rPr>
          <w:t>Child Protection Plan</w:t>
        </w:r>
      </w:hyperlink>
      <w:r w:rsidRPr="00D5133A">
        <w:rPr>
          <w:rFonts w:ascii="Calibri" w:eastAsia="Times New Roman" w:hAnsi="Calibri" w:cs="Calibri"/>
          <w:color w:val="000000"/>
          <w:sz w:val="27"/>
          <w:szCs w:val="27"/>
          <w:lang w:eastAsia="en-GB"/>
        </w:rPr>
        <w:t xml:space="preserve">, which have had a plan for more than 18 months and where the </w:t>
      </w:r>
      <w:r>
        <w:rPr>
          <w:rFonts w:ascii="Calibri" w:eastAsia="Times New Roman" w:hAnsi="Calibri" w:cs="Calibri"/>
          <w:color w:val="000000"/>
          <w:sz w:val="27"/>
          <w:szCs w:val="27"/>
          <w:lang w:eastAsia="en-GB"/>
        </w:rPr>
        <w:t>CP Panel</w:t>
      </w:r>
      <w:r w:rsidRPr="00D5133A">
        <w:rPr>
          <w:rFonts w:ascii="Calibri" w:eastAsia="Times New Roman" w:hAnsi="Calibri" w:cs="Calibri"/>
          <w:color w:val="000000"/>
          <w:sz w:val="27"/>
          <w:szCs w:val="27"/>
          <w:lang w:eastAsia="en-GB"/>
        </w:rPr>
        <w:t xml:space="preserve"> ha</w:t>
      </w:r>
      <w:r>
        <w:rPr>
          <w:rFonts w:ascii="Calibri" w:eastAsia="Times New Roman" w:hAnsi="Calibri" w:cs="Calibri"/>
          <w:color w:val="000000"/>
          <w:sz w:val="27"/>
          <w:szCs w:val="27"/>
          <w:lang w:eastAsia="en-GB"/>
        </w:rPr>
        <w:t>ve</w:t>
      </w:r>
      <w:r w:rsidRPr="00D5133A">
        <w:rPr>
          <w:rFonts w:ascii="Calibri" w:eastAsia="Times New Roman" w:hAnsi="Calibri" w:cs="Calibri"/>
          <w:color w:val="000000"/>
          <w:sz w:val="27"/>
          <w:szCs w:val="27"/>
          <w:lang w:eastAsia="en-GB"/>
        </w:rPr>
        <w:t xml:space="preserve"> reviewed the case but remain concerned about the </w:t>
      </w:r>
      <w:r w:rsidRPr="00B931F7">
        <w:rPr>
          <w:rFonts w:ascii="Calibri" w:eastAsia="Times New Roman" w:hAnsi="Calibri" w:cs="Calibri"/>
          <w:b/>
          <w:bCs/>
          <w:color w:val="000000"/>
          <w:sz w:val="27"/>
          <w:szCs w:val="27"/>
          <w:lang w:eastAsia="en-GB"/>
        </w:rPr>
        <w:t>absence of progress</w:t>
      </w:r>
      <w:r w:rsidRPr="00D5133A">
        <w:rPr>
          <w:rFonts w:ascii="Calibri" w:eastAsia="Times New Roman" w:hAnsi="Calibri" w:cs="Calibri"/>
          <w:color w:val="000000"/>
          <w:sz w:val="27"/>
          <w:szCs w:val="27"/>
          <w:lang w:eastAsia="en-GB"/>
        </w:rPr>
        <w:t xml:space="preserve"> due to gaps in provision/lack of a specialist assessment</w:t>
      </w:r>
    </w:p>
    <w:p w14:paraId="70F67203" w14:textId="74AF3CCE" w:rsidR="00D5133A" w:rsidRPr="00D5133A" w:rsidRDefault="00D5133A" w:rsidP="00D5133A">
      <w:pPr>
        <w:numPr>
          <w:ilvl w:val="0"/>
          <w:numId w:val="9"/>
        </w:numPr>
        <w:spacing w:before="150" w:after="100" w:afterAutospacing="1"/>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t>C</w:t>
      </w:r>
      <w:r>
        <w:rPr>
          <w:rFonts w:ascii="Calibri" w:eastAsia="Times New Roman" w:hAnsi="Calibri" w:cs="Calibri"/>
          <w:color w:val="000000"/>
          <w:sz w:val="27"/>
          <w:szCs w:val="27"/>
          <w:lang w:eastAsia="en-GB"/>
        </w:rPr>
        <w:t>hildren</w:t>
      </w:r>
      <w:r w:rsidRPr="00D5133A">
        <w:rPr>
          <w:rFonts w:ascii="Calibri" w:eastAsia="Times New Roman" w:hAnsi="Calibri" w:cs="Calibri"/>
          <w:color w:val="000000"/>
          <w:sz w:val="27"/>
          <w:szCs w:val="27"/>
          <w:lang w:eastAsia="en-GB"/>
        </w:rPr>
        <w:t xml:space="preserve"> where care proceedings have been </w:t>
      </w:r>
      <w:r>
        <w:rPr>
          <w:rFonts w:ascii="Calibri" w:eastAsia="Times New Roman" w:hAnsi="Calibri" w:cs="Calibri"/>
          <w:color w:val="000000"/>
          <w:sz w:val="27"/>
          <w:szCs w:val="27"/>
          <w:lang w:eastAsia="en-GB"/>
        </w:rPr>
        <w:t xml:space="preserve">completed </w:t>
      </w:r>
      <w:r w:rsidRPr="00D5133A">
        <w:rPr>
          <w:rFonts w:ascii="Calibri" w:eastAsia="Times New Roman" w:hAnsi="Calibri" w:cs="Calibri"/>
          <w:color w:val="000000"/>
          <w:sz w:val="27"/>
          <w:szCs w:val="27"/>
          <w:lang w:eastAsia="en-GB"/>
        </w:rPr>
        <w:t>but have resulted in a </w:t>
      </w:r>
      <w:hyperlink r:id="rId23" w:tgtFrame="_blank" w:history="1">
        <w:r w:rsidRPr="00D5133A">
          <w:rPr>
            <w:rFonts w:ascii="Calibri" w:eastAsia="Times New Roman" w:hAnsi="Calibri" w:cs="Calibri"/>
            <w:b/>
            <w:bCs/>
            <w:color w:val="253E8A"/>
            <w:sz w:val="27"/>
            <w:szCs w:val="27"/>
            <w:u w:val="single"/>
            <w:lang w:eastAsia="en-GB"/>
          </w:rPr>
          <w:t>Care Order</w:t>
        </w:r>
      </w:hyperlink>
      <w:r w:rsidRPr="00B931F7">
        <w:rPr>
          <w:rFonts w:ascii="Calibri" w:eastAsia="Times New Roman" w:hAnsi="Calibri" w:cs="Calibri"/>
          <w:b/>
          <w:bCs/>
          <w:color w:val="000000"/>
          <w:sz w:val="27"/>
          <w:szCs w:val="27"/>
          <w:lang w:eastAsia="en-GB"/>
        </w:rPr>
        <w:t> not being made, against LA advice</w:t>
      </w:r>
    </w:p>
    <w:p w14:paraId="3980DA85" w14:textId="4396B334" w:rsidR="00D5133A" w:rsidRPr="00D5133A" w:rsidRDefault="00D5133A" w:rsidP="00D5133A">
      <w:pPr>
        <w:numPr>
          <w:ilvl w:val="0"/>
          <w:numId w:val="9"/>
        </w:numPr>
        <w:spacing w:before="150" w:after="100" w:afterAutospacing="1"/>
        <w:rPr>
          <w:rFonts w:ascii="Calibri" w:eastAsia="Times New Roman" w:hAnsi="Calibri" w:cs="Calibri"/>
          <w:color w:val="000000"/>
          <w:sz w:val="27"/>
          <w:szCs w:val="27"/>
          <w:lang w:eastAsia="en-GB"/>
        </w:rPr>
      </w:pPr>
      <w:r w:rsidRPr="00D5133A">
        <w:rPr>
          <w:rFonts w:ascii="Calibri" w:eastAsia="Times New Roman" w:hAnsi="Calibri" w:cs="Calibri"/>
          <w:b/>
          <w:bCs/>
          <w:color w:val="000000"/>
          <w:sz w:val="27"/>
          <w:szCs w:val="27"/>
          <w:lang w:eastAsia="en-GB"/>
        </w:rPr>
        <w:t xml:space="preserve">High </w:t>
      </w:r>
      <w:r w:rsidR="00B028BC">
        <w:rPr>
          <w:rFonts w:ascii="Calibri" w:eastAsia="Times New Roman" w:hAnsi="Calibri" w:cs="Calibri"/>
          <w:b/>
          <w:bCs/>
          <w:color w:val="000000"/>
          <w:sz w:val="27"/>
          <w:szCs w:val="27"/>
          <w:lang w:eastAsia="en-GB"/>
        </w:rPr>
        <w:t>r</w:t>
      </w:r>
      <w:r w:rsidRPr="00D5133A">
        <w:rPr>
          <w:rFonts w:ascii="Calibri" w:eastAsia="Times New Roman" w:hAnsi="Calibri" w:cs="Calibri"/>
          <w:b/>
          <w:bCs/>
          <w:color w:val="000000"/>
          <w:sz w:val="27"/>
          <w:szCs w:val="27"/>
          <w:lang w:eastAsia="en-GB"/>
        </w:rPr>
        <w:t xml:space="preserve">isk </w:t>
      </w:r>
      <w:r>
        <w:rPr>
          <w:rFonts w:ascii="Calibri" w:eastAsia="Times New Roman" w:hAnsi="Calibri" w:cs="Calibri"/>
          <w:b/>
          <w:bCs/>
          <w:color w:val="000000"/>
          <w:sz w:val="27"/>
          <w:szCs w:val="27"/>
          <w:lang w:eastAsia="en-GB"/>
        </w:rPr>
        <w:t>young people</w:t>
      </w:r>
      <w:r w:rsidRPr="00D5133A">
        <w:rPr>
          <w:rFonts w:ascii="Calibri" w:eastAsia="Times New Roman" w:hAnsi="Calibri" w:cs="Calibri"/>
          <w:color w:val="000000"/>
          <w:sz w:val="27"/>
          <w:szCs w:val="27"/>
          <w:lang w:eastAsia="en-GB"/>
        </w:rPr>
        <w:t>:  where adolescents</w:t>
      </w:r>
      <w:r>
        <w:rPr>
          <w:rFonts w:ascii="Calibri" w:eastAsia="Times New Roman" w:hAnsi="Calibri" w:cs="Calibri"/>
          <w:color w:val="000000"/>
          <w:sz w:val="27"/>
          <w:szCs w:val="27"/>
          <w:lang w:eastAsia="en-GB"/>
        </w:rPr>
        <w:t xml:space="preserve"> or care leavers</w:t>
      </w:r>
      <w:r w:rsidRPr="00D5133A">
        <w:rPr>
          <w:rFonts w:ascii="Calibri" w:eastAsia="Times New Roman" w:hAnsi="Calibri" w:cs="Calibri"/>
          <w:color w:val="000000"/>
          <w:sz w:val="27"/>
          <w:szCs w:val="27"/>
          <w:lang w:eastAsia="en-GB"/>
        </w:rPr>
        <w:t>, living in the community, whether in their families, in care,</w:t>
      </w:r>
      <w:r>
        <w:rPr>
          <w:rFonts w:ascii="Calibri" w:eastAsia="Times New Roman" w:hAnsi="Calibri" w:cs="Calibri"/>
          <w:color w:val="000000"/>
          <w:sz w:val="27"/>
          <w:szCs w:val="27"/>
          <w:lang w:eastAsia="en-GB"/>
        </w:rPr>
        <w:t xml:space="preserve"> homeless or in supported accommodation,</w:t>
      </w:r>
      <w:r w:rsidRPr="00D5133A">
        <w:rPr>
          <w:rFonts w:ascii="Calibri" w:eastAsia="Times New Roman" w:hAnsi="Calibri" w:cs="Calibri"/>
          <w:color w:val="000000"/>
          <w:sz w:val="27"/>
          <w:szCs w:val="27"/>
          <w:lang w:eastAsia="en-GB"/>
        </w:rPr>
        <w:t xml:space="preserve"> </w:t>
      </w:r>
      <w:r>
        <w:rPr>
          <w:rFonts w:ascii="Calibri" w:eastAsia="Times New Roman" w:hAnsi="Calibri" w:cs="Calibri"/>
          <w:color w:val="000000"/>
          <w:sz w:val="27"/>
          <w:szCs w:val="27"/>
          <w:lang w:eastAsia="en-GB"/>
        </w:rPr>
        <w:t xml:space="preserve"> are at </w:t>
      </w:r>
      <w:r w:rsidRPr="00D5133A">
        <w:rPr>
          <w:rFonts w:ascii="Calibri" w:eastAsia="Times New Roman" w:hAnsi="Calibri" w:cs="Calibri"/>
          <w:color w:val="000000"/>
          <w:sz w:val="27"/>
          <w:szCs w:val="27"/>
          <w:lang w:eastAsia="en-GB"/>
        </w:rPr>
        <w:t>risk of </w:t>
      </w:r>
      <w:hyperlink r:id="rId24" w:tgtFrame="_blank" w:history="1">
        <w:r w:rsidR="00B028BC">
          <w:rPr>
            <w:rFonts w:ascii="Calibri" w:eastAsia="Times New Roman" w:hAnsi="Calibri" w:cs="Calibri"/>
            <w:b/>
            <w:bCs/>
            <w:color w:val="253E8A"/>
            <w:sz w:val="27"/>
            <w:szCs w:val="27"/>
            <w:u w:val="single"/>
            <w:lang w:eastAsia="en-GB"/>
          </w:rPr>
          <w:t>s</w:t>
        </w:r>
        <w:r w:rsidRPr="00D5133A">
          <w:rPr>
            <w:rFonts w:ascii="Calibri" w:eastAsia="Times New Roman" w:hAnsi="Calibri" w:cs="Calibri"/>
            <w:b/>
            <w:bCs/>
            <w:color w:val="253E8A"/>
            <w:sz w:val="27"/>
            <w:szCs w:val="27"/>
            <w:u w:val="single"/>
            <w:lang w:eastAsia="en-GB"/>
          </w:rPr>
          <w:t xml:space="preserve">ignificant </w:t>
        </w:r>
        <w:r w:rsidR="00B028BC">
          <w:rPr>
            <w:rFonts w:ascii="Calibri" w:eastAsia="Times New Roman" w:hAnsi="Calibri" w:cs="Calibri"/>
            <w:b/>
            <w:bCs/>
            <w:color w:val="253E8A"/>
            <w:sz w:val="27"/>
            <w:szCs w:val="27"/>
            <w:u w:val="single"/>
            <w:lang w:eastAsia="en-GB"/>
          </w:rPr>
          <w:t>h</w:t>
        </w:r>
        <w:r w:rsidRPr="00D5133A">
          <w:rPr>
            <w:rFonts w:ascii="Calibri" w:eastAsia="Times New Roman" w:hAnsi="Calibri" w:cs="Calibri"/>
            <w:b/>
            <w:bCs/>
            <w:color w:val="253E8A"/>
            <w:sz w:val="27"/>
            <w:szCs w:val="27"/>
            <w:u w:val="single"/>
            <w:lang w:eastAsia="en-GB"/>
          </w:rPr>
          <w:t>arm</w:t>
        </w:r>
      </w:hyperlink>
      <w:r w:rsidRPr="00D5133A">
        <w:rPr>
          <w:rFonts w:ascii="Calibri" w:eastAsia="Times New Roman" w:hAnsi="Calibri" w:cs="Calibri"/>
          <w:color w:val="000000"/>
          <w:sz w:val="27"/>
          <w:szCs w:val="27"/>
          <w:lang w:eastAsia="en-GB"/>
        </w:rPr>
        <w:t xml:space="preserve">, whether to self or others, through </w:t>
      </w:r>
      <w:r>
        <w:rPr>
          <w:rFonts w:ascii="Calibri" w:eastAsia="Times New Roman" w:hAnsi="Calibri" w:cs="Calibri"/>
          <w:color w:val="000000"/>
          <w:sz w:val="27"/>
          <w:szCs w:val="27"/>
          <w:lang w:eastAsia="en-GB"/>
        </w:rPr>
        <w:t xml:space="preserve">exploitation, being a victim of crime, </w:t>
      </w:r>
      <w:r w:rsidRPr="00D5133A">
        <w:rPr>
          <w:rFonts w:ascii="Calibri" w:eastAsia="Times New Roman" w:hAnsi="Calibri" w:cs="Calibri"/>
          <w:color w:val="000000"/>
          <w:sz w:val="27"/>
          <w:szCs w:val="27"/>
          <w:lang w:eastAsia="en-GB"/>
        </w:rPr>
        <w:t>violence</w:t>
      </w:r>
      <w:r>
        <w:rPr>
          <w:rFonts w:ascii="Calibri" w:eastAsia="Times New Roman" w:hAnsi="Calibri" w:cs="Calibri"/>
          <w:color w:val="000000"/>
          <w:sz w:val="27"/>
          <w:szCs w:val="27"/>
          <w:lang w:eastAsia="en-GB"/>
        </w:rPr>
        <w:t>/aggression</w:t>
      </w:r>
      <w:r w:rsidRPr="00D5133A">
        <w:rPr>
          <w:rFonts w:ascii="Calibri" w:eastAsia="Times New Roman" w:hAnsi="Calibri" w:cs="Calibri"/>
          <w:color w:val="000000"/>
          <w:sz w:val="27"/>
          <w:szCs w:val="27"/>
          <w:lang w:eastAsia="en-GB"/>
        </w:rPr>
        <w:t>, offending, self-harm</w:t>
      </w:r>
      <w:r>
        <w:rPr>
          <w:rFonts w:ascii="Calibri" w:eastAsia="Times New Roman" w:hAnsi="Calibri" w:cs="Calibri"/>
          <w:color w:val="000000"/>
          <w:sz w:val="27"/>
          <w:szCs w:val="27"/>
          <w:lang w:eastAsia="en-GB"/>
        </w:rPr>
        <w:t>, misadventure</w:t>
      </w:r>
      <w:r w:rsidRPr="00D5133A">
        <w:rPr>
          <w:rFonts w:ascii="Calibri" w:eastAsia="Times New Roman" w:hAnsi="Calibri" w:cs="Calibri"/>
          <w:color w:val="000000"/>
          <w:sz w:val="27"/>
          <w:szCs w:val="27"/>
          <w:lang w:eastAsia="en-GB"/>
        </w:rPr>
        <w:t xml:space="preserve"> or serious substance misuse. They may be at risk of </w:t>
      </w:r>
      <w:r>
        <w:rPr>
          <w:rFonts w:ascii="Calibri" w:eastAsia="Times New Roman" w:hAnsi="Calibri" w:cs="Calibri"/>
          <w:color w:val="000000"/>
          <w:sz w:val="27"/>
          <w:szCs w:val="27"/>
          <w:lang w:eastAsia="en-GB"/>
        </w:rPr>
        <w:t xml:space="preserve">losing their liberty to custody or </w:t>
      </w:r>
      <w:r w:rsidRPr="00D5133A">
        <w:rPr>
          <w:rFonts w:ascii="Calibri" w:eastAsia="Times New Roman" w:hAnsi="Calibri" w:cs="Calibri"/>
          <w:color w:val="000000"/>
          <w:sz w:val="27"/>
          <w:szCs w:val="27"/>
          <w:lang w:eastAsia="en-GB"/>
        </w:rPr>
        <w:t>a secure order</w:t>
      </w:r>
      <w:r>
        <w:rPr>
          <w:rFonts w:ascii="Calibri" w:eastAsia="Times New Roman" w:hAnsi="Calibri" w:cs="Calibri"/>
          <w:color w:val="000000"/>
          <w:sz w:val="27"/>
          <w:szCs w:val="27"/>
          <w:lang w:eastAsia="en-GB"/>
        </w:rPr>
        <w:t>, or at risk of physical harm/death</w:t>
      </w:r>
    </w:p>
    <w:p w14:paraId="1F4BFCDB" w14:textId="0D90F478" w:rsidR="00D5133A" w:rsidRPr="00D5133A" w:rsidRDefault="00D5133A" w:rsidP="00D5133A">
      <w:pPr>
        <w:numPr>
          <w:ilvl w:val="0"/>
          <w:numId w:val="9"/>
        </w:numPr>
        <w:spacing w:before="150" w:after="100" w:afterAutospacing="1"/>
        <w:rPr>
          <w:rFonts w:ascii="Calibri" w:eastAsia="Times New Roman" w:hAnsi="Calibri" w:cs="Calibri"/>
          <w:color w:val="000000"/>
          <w:sz w:val="27"/>
          <w:szCs w:val="27"/>
          <w:lang w:eastAsia="en-GB"/>
        </w:rPr>
      </w:pPr>
      <w:r w:rsidRPr="00D5133A">
        <w:rPr>
          <w:rFonts w:ascii="Calibri" w:eastAsia="Times New Roman" w:hAnsi="Calibri" w:cs="Calibri"/>
          <w:b/>
          <w:bCs/>
          <w:color w:val="000000"/>
          <w:sz w:val="27"/>
          <w:szCs w:val="27"/>
          <w:lang w:eastAsia="en-GB"/>
        </w:rPr>
        <w:t>Out of County placements</w:t>
      </w:r>
      <w:r w:rsidRPr="00D5133A">
        <w:rPr>
          <w:rFonts w:ascii="Calibri" w:eastAsia="Times New Roman" w:hAnsi="Calibri" w:cs="Calibri"/>
          <w:color w:val="000000"/>
          <w:sz w:val="27"/>
          <w:szCs w:val="27"/>
          <w:lang w:eastAsia="en-GB"/>
        </w:rPr>
        <w:t xml:space="preserve">:  where adolescents have been placed at long distance and are </w:t>
      </w:r>
      <w:r w:rsidRPr="00B931F7">
        <w:rPr>
          <w:rFonts w:ascii="Calibri" w:eastAsia="Times New Roman" w:hAnsi="Calibri" w:cs="Calibri"/>
          <w:b/>
          <w:bCs/>
          <w:color w:val="000000"/>
          <w:sz w:val="27"/>
          <w:szCs w:val="27"/>
          <w:lang w:eastAsia="en-GB"/>
        </w:rPr>
        <w:t>lacking co-ordinated services</w:t>
      </w:r>
      <w:r w:rsidRPr="00D5133A">
        <w:rPr>
          <w:rFonts w:ascii="Calibri" w:eastAsia="Times New Roman" w:hAnsi="Calibri" w:cs="Calibri"/>
          <w:color w:val="000000"/>
          <w:sz w:val="27"/>
          <w:szCs w:val="27"/>
          <w:lang w:eastAsia="en-GB"/>
        </w:rPr>
        <w:t xml:space="preserve"> from a range of professionals to </w:t>
      </w:r>
      <w:r>
        <w:rPr>
          <w:rFonts w:ascii="Calibri" w:eastAsia="Times New Roman" w:hAnsi="Calibri" w:cs="Calibri"/>
          <w:color w:val="000000"/>
          <w:sz w:val="27"/>
          <w:szCs w:val="27"/>
          <w:lang w:eastAsia="en-GB"/>
        </w:rPr>
        <w:t xml:space="preserve">reduce serious risks, e.g. self-harm, risk of suicide, violence/aggression, to </w:t>
      </w:r>
      <w:r w:rsidRPr="00D5133A">
        <w:rPr>
          <w:rFonts w:ascii="Calibri" w:eastAsia="Times New Roman" w:hAnsi="Calibri" w:cs="Calibri"/>
          <w:color w:val="000000"/>
          <w:sz w:val="27"/>
          <w:szCs w:val="27"/>
          <w:lang w:eastAsia="en-GB"/>
        </w:rPr>
        <w:t>be able to move</w:t>
      </w:r>
      <w:r>
        <w:rPr>
          <w:rFonts w:ascii="Calibri" w:eastAsia="Times New Roman" w:hAnsi="Calibri" w:cs="Calibri"/>
          <w:color w:val="000000"/>
          <w:sz w:val="27"/>
          <w:szCs w:val="27"/>
          <w:lang w:eastAsia="en-GB"/>
        </w:rPr>
        <w:t xml:space="preserve"> to a placement/home</w:t>
      </w:r>
      <w:r w:rsidRPr="00D5133A">
        <w:rPr>
          <w:rFonts w:ascii="Calibri" w:eastAsia="Times New Roman" w:hAnsi="Calibri" w:cs="Calibri"/>
          <w:color w:val="000000"/>
          <w:sz w:val="27"/>
          <w:szCs w:val="27"/>
          <w:lang w:eastAsia="en-GB"/>
        </w:rPr>
        <w:t xml:space="preserve"> in-county</w:t>
      </w:r>
    </w:p>
    <w:p w14:paraId="41301D8C" w14:textId="50CD09E0" w:rsidR="00D5133A" w:rsidRPr="00D5133A" w:rsidRDefault="00D5133A" w:rsidP="00D5133A">
      <w:pPr>
        <w:numPr>
          <w:ilvl w:val="0"/>
          <w:numId w:val="9"/>
        </w:numPr>
        <w:spacing w:before="150" w:after="100" w:afterAutospacing="1"/>
        <w:rPr>
          <w:rFonts w:ascii="Calibri" w:eastAsia="Times New Roman" w:hAnsi="Calibri" w:cs="Calibri"/>
          <w:color w:val="000000"/>
          <w:sz w:val="27"/>
          <w:szCs w:val="27"/>
          <w:lang w:eastAsia="en-GB"/>
        </w:rPr>
      </w:pPr>
      <w:r w:rsidRPr="00D5133A">
        <w:rPr>
          <w:rFonts w:ascii="Calibri" w:eastAsia="Times New Roman" w:hAnsi="Calibri" w:cs="Calibri"/>
          <w:b/>
          <w:bCs/>
          <w:color w:val="000000"/>
          <w:sz w:val="27"/>
          <w:szCs w:val="27"/>
          <w:lang w:eastAsia="en-GB"/>
        </w:rPr>
        <w:t>Multiple </w:t>
      </w:r>
      <w:r w:rsidR="00B028BC">
        <w:rPr>
          <w:rFonts w:ascii="Calibri" w:eastAsia="Times New Roman" w:hAnsi="Calibri" w:cs="Calibri"/>
          <w:b/>
          <w:bCs/>
          <w:color w:val="000000"/>
          <w:sz w:val="27"/>
          <w:szCs w:val="27"/>
          <w:lang w:eastAsia="en-GB"/>
        </w:rPr>
        <w:t>c</w:t>
      </w:r>
      <w:r w:rsidRPr="00D5133A">
        <w:rPr>
          <w:rFonts w:ascii="Calibri" w:eastAsia="Times New Roman" w:hAnsi="Calibri" w:cs="Calibri"/>
          <w:b/>
          <w:bCs/>
          <w:color w:val="000000"/>
          <w:sz w:val="27"/>
          <w:szCs w:val="27"/>
          <w:lang w:eastAsia="en-GB"/>
        </w:rPr>
        <w:t>omplex </w:t>
      </w:r>
      <w:r w:rsidR="00B028BC">
        <w:rPr>
          <w:rFonts w:ascii="Calibri" w:eastAsia="Times New Roman" w:hAnsi="Calibri" w:cs="Calibri"/>
          <w:b/>
          <w:bCs/>
          <w:color w:val="000000"/>
          <w:sz w:val="27"/>
          <w:szCs w:val="27"/>
          <w:lang w:eastAsia="en-GB"/>
        </w:rPr>
        <w:t>n</w:t>
      </w:r>
      <w:r w:rsidRPr="00D5133A">
        <w:rPr>
          <w:rFonts w:ascii="Calibri" w:eastAsia="Times New Roman" w:hAnsi="Calibri" w:cs="Calibri"/>
          <w:b/>
          <w:bCs/>
          <w:color w:val="000000"/>
          <w:sz w:val="27"/>
          <w:szCs w:val="27"/>
          <w:lang w:eastAsia="en-GB"/>
        </w:rPr>
        <w:t>eeds at risk of poor outcomes</w:t>
      </w:r>
      <w:r w:rsidRPr="00D5133A">
        <w:rPr>
          <w:rFonts w:ascii="Calibri" w:eastAsia="Times New Roman" w:hAnsi="Calibri" w:cs="Calibri"/>
          <w:color w:val="000000"/>
          <w:sz w:val="27"/>
          <w:szCs w:val="27"/>
          <w:lang w:eastAsia="en-GB"/>
        </w:rPr>
        <w:t xml:space="preserve">: where adolescents have both mental health problems and substance misuse; or mental health problems and learning disability; or where two statutory proceedings are in place at the same time e.g. criminal proceedings and </w:t>
      </w:r>
      <w:r>
        <w:rPr>
          <w:rFonts w:ascii="Calibri" w:eastAsia="Times New Roman" w:hAnsi="Calibri" w:cs="Calibri"/>
          <w:color w:val="000000"/>
          <w:sz w:val="27"/>
          <w:szCs w:val="27"/>
          <w:lang w:eastAsia="en-GB"/>
        </w:rPr>
        <w:t>c</w:t>
      </w:r>
      <w:r w:rsidRPr="00D5133A">
        <w:rPr>
          <w:rFonts w:ascii="Calibri" w:eastAsia="Times New Roman" w:hAnsi="Calibri" w:cs="Calibri"/>
          <w:color w:val="000000"/>
          <w:sz w:val="27"/>
          <w:szCs w:val="27"/>
          <w:lang w:eastAsia="en-GB"/>
        </w:rPr>
        <w:t xml:space="preserve">hild </w:t>
      </w:r>
      <w:r>
        <w:rPr>
          <w:rFonts w:ascii="Calibri" w:eastAsia="Times New Roman" w:hAnsi="Calibri" w:cs="Calibri"/>
          <w:color w:val="000000"/>
          <w:sz w:val="27"/>
          <w:szCs w:val="27"/>
          <w:lang w:eastAsia="en-GB"/>
        </w:rPr>
        <w:t>p</w:t>
      </w:r>
      <w:r w:rsidRPr="00D5133A">
        <w:rPr>
          <w:rFonts w:ascii="Calibri" w:eastAsia="Times New Roman" w:hAnsi="Calibri" w:cs="Calibri"/>
          <w:color w:val="000000"/>
          <w:sz w:val="27"/>
          <w:szCs w:val="27"/>
          <w:lang w:eastAsia="en-GB"/>
        </w:rPr>
        <w:t xml:space="preserve">rotection </w:t>
      </w:r>
      <w:r>
        <w:rPr>
          <w:rFonts w:ascii="Calibri" w:eastAsia="Times New Roman" w:hAnsi="Calibri" w:cs="Calibri"/>
          <w:color w:val="000000"/>
          <w:sz w:val="27"/>
          <w:szCs w:val="27"/>
          <w:lang w:eastAsia="en-GB"/>
        </w:rPr>
        <w:t>c</w:t>
      </w:r>
      <w:r w:rsidRPr="00D5133A">
        <w:rPr>
          <w:rFonts w:ascii="Calibri" w:eastAsia="Times New Roman" w:hAnsi="Calibri" w:cs="Calibri"/>
          <w:color w:val="000000"/>
          <w:sz w:val="27"/>
          <w:szCs w:val="27"/>
          <w:lang w:eastAsia="en-GB"/>
        </w:rPr>
        <w:t>onferencing for a young person with sexually harmful behaviours</w:t>
      </w:r>
    </w:p>
    <w:p w14:paraId="6DEA6257" w14:textId="77777777" w:rsidR="00D5133A" w:rsidRPr="00D5133A" w:rsidRDefault="00D5133A" w:rsidP="00D5133A">
      <w:pPr>
        <w:spacing w:before="150" w:after="150"/>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t>This list is intended to be illustrative, not exhaustive.</w:t>
      </w:r>
    </w:p>
    <w:p w14:paraId="53CBA5AE" w14:textId="368E0257" w:rsidR="00D5133A" w:rsidRPr="00D5133A" w:rsidRDefault="00D5133A" w:rsidP="00D5133A">
      <w:pPr>
        <w:pBdr>
          <w:bottom w:val="single" w:sz="6" w:space="0" w:color="439CB1"/>
        </w:pBdr>
        <w:outlineLvl w:val="2"/>
        <w:rPr>
          <w:rFonts w:ascii="Calibri" w:eastAsia="Times New Roman" w:hAnsi="Calibri" w:cs="Calibri"/>
          <w:b/>
          <w:bCs/>
          <w:color w:val="000000"/>
          <w:sz w:val="31"/>
          <w:szCs w:val="31"/>
          <w:lang w:eastAsia="en-GB"/>
        </w:rPr>
      </w:pPr>
      <w:r w:rsidRPr="00D5133A">
        <w:rPr>
          <w:rFonts w:ascii="Calibri" w:eastAsia="Times New Roman" w:hAnsi="Calibri" w:cs="Calibri"/>
          <w:b/>
          <w:bCs/>
          <w:color w:val="000000"/>
          <w:sz w:val="31"/>
          <w:szCs w:val="31"/>
          <w:lang w:eastAsia="en-GB"/>
        </w:rPr>
        <w:t xml:space="preserve">11. Examples of </w:t>
      </w:r>
      <w:r w:rsidR="00D07AF9">
        <w:rPr>
          <w:rFonts w:ascii="Calibri" w:eastAsia="Times New Roman" w:hAnsi="Calibri" w:cs="Calibri"/>
          <w:b/>
          <w:bCs/>
          <w:color w:val="000000"/>
          <w:sz w:val="31"/>
          <w:szCs w:val="31"/>
          <w:lang w:eastAsia="en-GB"/>
        </w:rPr>
        <w:t>s</w:t>
      </w:r>
      <w:r w:rsidRPr="00D5133A">
        <w:rPr>
          <w:rFonts w:ascii="Calibri" w:eastAsia="Times New Roman" w:hAnsi="Calibri" w:cs="Calibri"/>
          <w:b/>
          <w:bCs/>
          <w:color w:val="000000"/>
          <w:sz w:val="31"/>
          <w:szCs w:val="31"/>
          <w:lang w:eastAsia="en-GB"/>
        </w:rPr>
        <w:t xml:space="preserve">ervice-based </w:t>
      </w:r>
      <w:r w:rsidR="00D07AF9">
        <w:rPr>
          <w:rFonts w:ascii="Calibri" w:eastAsia="Times New Roman" w:hAnsi="Calibri" w:cs="Calibri"/>
          <w:b/>
          <w:bCs/>
          <w:color w:val="000000"/>
          <w:sz w:val="31"/>
          <w:szCs w:val="31"/>
          <w:lang w:eastAsia="en-GB"/>
        </w:rPr>
        <w:t>c</w:t>
      </w:r>
      <w:r w:rsidRPr="00D5133A">
        <w:rPr>
          <w:rFonts w:ascii="Calibri" w:eastAsia="Times New Roman" w:hAnsi="Calibri" w:cs="Calibri"/>
          <w:b/>
          <w:bCs/>
          <w:color w:val="000000"/>
          <w:sz w:val="31"/>
          <w:szCs w:val="31"/>
          <w:lang w:eastAsia="en-GB"/>
        </w:rPr>
        <w:t xml:space="preserve">oncerns </w:t>
      </w:r>
      <w:r w:rsidR="00D07AF9">
        <w:rPr>
          <w:rFonts w:ascii="Calibri" w:eastAsia="Times New Roman" w:hAnsi="Calibri" w:cs="Calibri"/>
          <w:b/>
          <w:bCs/>
          <w:color w:val="000000"/>
          <w:sz w:val="31"/>
          <w:szCs w:val="31"/>
          <w:lang w:eastAsia="en-GB"/>
        </w:rPr>
        <w:t>a</w:t>
      </w:r>
      <w:r w:rsidRPr="00D5133A">
        <w:rPr>
          <w:rFonts w:ascii="Calibri" w:eastAsia="Times New Roman" w:hAnsi="Calibri" w:cs="Calibri"/>
          <w:b/>
          <w:bCs/>
          <w:color w:val="000000"/>
          <w:sz w:val="31"/>
          <w:szCs w:val="31"/>
          <w:lang w:eastAsia="en-GB"/>
        </w:rPr>
        <w:t xml:space="preserve">ffecting </w:t>
      </w:r>
      <w:r w:rsidR="00D07AF9">
        <w:rPr>
          <w:rFonts w:ascii="Calibri" w:eastAsia="Times New Roman" w:hAnsi="Calibri" w:cs="Calibri"/>
          <w:b/>
          <w:bCs/>
          <w:color w:val="000000"/>
          <w:sz w:val="31"/>
          <w:szCs w:val="31"/>
          <w:lang w:eastAsia="en-GB"/>
        </w:rPr>
        <w:t>o</w:t>
      </w:r>
      <w:r w:rsidRPr="00D5133A">
        <w:rPr>
          <w:rFonts w:ascii="Calibri" w:eastAsia="Times New Roman" w:hAnsi="Calibri" w:cs="Calibri"/>
          <w:b/>
          <w:bCs/>
          <w:color w:val="000000"/>
          <w:sz w:val="31"/>
          <w:szCs w:val="31"/>
          <w:lang w:eastAsia="en-GB"/>
        </w:rPr>
        <w:t>utcomes</w:t>
      </w:r>
    </w:p>
    <w:p w14:paraId="469FEAA3" w14:textId="7E14E419" w:rsidR="00D5133A" w:rsidRPr="00D5133A" w:rsidRDefault="00D5133A" w:rsidP="00D5133A">
      <w:pPr>
        <w:spacing w:before="150" w:after="150"/>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t>Complex C</w:t>
      </w:r>
      <w:r>
        <w:rPr>
          <w:rFonts w:ascii="Calibri" w:eastAsia="Times New Roman" w:hAnsi="Calibri" w:cs="Calibri"/>
          <w:color w:val="000000"/>
          <w:sz w:val="27"/>
          <w:szCs w:val="27"/>
          <w:lang w:eastAsia="en-GB"/>
        </w:rPr>
        <w:t>hild</w:t>
      </w:r>
      <w:r w:rsidRPr="00D5133A">
        <w:rPr>
          <w:rFonts w:ascii="Calibri" w:eastAsia="Times New Roman" w:hAnsi="Calibri" w:cs="Calibri"/>
          <w:color w:val="000000"/>
          <w:sz w:val="27"/>
          <w:szCs w:val="27"/>
          <w:lang w:eastAsia="en-GB"/>
        </w:rPr>
        <w:t> P</w:t>
      </w:r>
      <w:r>
        <w:rPr>
          <w:rFonts w:ascii="Calibri" w:eastAsia="Times New Roman" w:hAnsi="Calibri" w:cs="Calibri"/>
          <w:color w:val="000000"/>
          <w:sz w:val="27"/>
          <w:szCs w:val="27"/>
          <w:lang w:eastAsia="en-GB"/>
        </w:rPr>
        <w:t>anel</w:t>
      </w:r>
      <w:r w:rsidRPr="00D5133A">
        <w:rPr>
          <w:rFonts w:ascii="Calibri" w:eastAsia="Times New Roman" w:hAnsi="Calibri" w:cs="Calibri"/>
          <w:color w:val="000000"/>
          <w:sz w:val="27"/>
          <w:szCs w:val="27"/>
          <w:lang w:eastAsia="en-GB"/>
        </w:rPr>
        <w:t xml:space="preserve"> is not intended to 'escalate' or 'sweep-up' serious cases which are making </w:t>
      </w:r>
      <w:r>
        <w:rPr>
          <w:rFonts w:ascii="Calibri" w:eastAsia="Times New Roman" w:hAnsi="Calibri" w:cs="Calibri"/>
          <w:color w:val="000000"/>
          <w:sz w:val="27"/>
          <w:szCs w:val="27"/>
          <w:lang w:eastAsia="en-GB"/>
        </w:rPr>
        <w:t>reason</w:t>
      </w:r>
      <w:r w:rsidRPr="00D5133A">
        <w:rPr>
          <w:rFonts w:ascii="Calibri" w:eastAsia="Times New Roman" w:hAnsi="Calibri" w:cs="Calibri"/>
          <w:color w:val="000000"/>
          <w:sz w:val="27"/>
          <w:szCs w:val="27"/>
          <w:lang w:eastAsia="en-GB"/>
        </w:rPr>
        <w:t>able progress through normal case-management frameworks. These include support and challenge from panels (e.g. legal, adoption, fostering, placement panels) independent chairs/reviewing officers and casework supervisors/managers.</w:t>
      </w:r>
    </w:p>
    <w:p w14:paraId="7FF954AA" w14:textId="027F7F0F" w:rsidR="00D5133A" w:rsidRPr="00D5133A" w:rsidRDefault="00D5133A" w:rsidP="00D5133A">
      <w:pPr>
        <w:spacing w:before="150" w:after="150"/>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t>Rather, it is  used for a small number of cases where improved outcomes are not being achieved and risks are increasing. Features of such cases may include:</w:t>
      </w:r>
    </w:p>
    <w:p w14:paraId="14A1869A" w14:textId="13B586F5" w:rsidR="00D5133A" w:rsidRDefault="00D5133A" w:rsidP="00D5133A">
      <w:pPr>
        <w:numPr>
          <w:ilvl w:val="0"/>
          <w:numId w:val="10"/>
        </w:numPr>
        <w:spacing w:before="150" w:after="100" w:afterAutospacing="1"/>
        <w:rPr>
          <w:rFonts w:ascii="Calibri" w:eastAsia="Times New Roman" w:hAnsi="Calibri" w:cs="Calibri"/>
          <w:color w:val="000000"/>
          <w:sz w:val="27"/>
          <w:szCs w:val="27"/>
          <w:lang w:eastAsia="en-GB"/>
        </w:rPr>
      </w:pPr>
      <w:r>
        <w:rPr>
          <w:rFonts w:ascii="Calibri" w:eastAsia="Times New Roman" w:hAnsi="Calibri" w:cs="Calibri"/>
          <w:color w:val="000000"/>
          <w:sz w:val="27"/>
          <w:szCs w:val="27"/>
          <w:lang w:eastAsia="en-GB"/>
        </w:rPr>
        <w:t>Professionals working to their best ability but holding high levels of risk for prolonged periods</w:t>
      </w:r>
    </w:p>
    <w:p w14:paraId="1B31FBB7" w14:textId="7DF24795" w:rsidR="00D5133A" w:rsidRPr="00D5133A" w:rsidRDefault="00D5133A" w:rsidP="00D5133A">
      <w:pPr>
        <w:numPr>
          <w:ilvl w:val="0"/>
          <w:numId w:val="10"/>
        </w:numPr>
        <w:spacing w:before="150" w:after="100" w:afterAutospacing="1"/>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t xml:space="preserve">Agencies working </w:t>
      </w:r>
      <w:r>
        <w:rPr>
          <w:rFonts w:ascii="Calibri" w:eastAsia="Times New Roman" w:hAnsi="Calibri" w:cs="Calibri"/>
          <w:color w:val="000000"/>
          <w:sz w:val="27"/>
          <w:szCs w:val="27"/>
          <w:lang w:eastAsia="en-GB"/>
        </w:rPr>
        <w:t>without coherence with</w:t>
      </w:r>
      <w:r w:rsidRPr="00D5133A">
        <w:rPr>
          <w:rFonts w:ascii="Calibri" w:eastAsia="Times New Roman" w:hAnsi="Calibri" w:cs="Calibri"/>
          <w:color w:val="000000"/>
          <w:sz w:val="27"/>
          <w:szCs w:val="27"/>
          <w:lang w:eastAsia="en-GB"/>
        </w:rPr>
        <w:t xml:space="preserve"> one another</w:t>
      </w:r>
      <w:r>
        <w:rPr>
          <w:rFonts w:ascii="Calibri" w:eastAsia="Times New Roman" w:hAnsi="Calibri" w:cs="Calibri"/>
          <w:color w:val="000000"/>
          <w:sz w:val="27"/>
          <w:szCs w:val="27"/>
          <w:lang w:eastAsia="en-GB"/>
        </w:rPr>
        <w:t>, or hindered by separate objectives/timescales</w:t>
      </w:r>
    </w:p>
    <w:p w14:paraId="67925BFE" w14:textId="77777777" w:rsidR="00D5133A" w:rsidRPr="00D5133A" w:rsidRDefault="00D5133A" w:rsidP="00D5133A">
      <w:pPr>
        <w:numPr>
          <w:ilvl w:val="0"/>
          <w:numId w:val="10"/>
        </w:numPr>
        <w:spacing w:before="150" w:after="100" w:afterAutospacing="1"/>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lastRenderedPageBreak/>
        <w:t>Agencies' resources diverted towards short-term crises not achieving long term outcomes;</w:t>
      </w:r>
    </w:p>
    <w:p w14:paraId="74E0082C" w14:textId="7EFC98C1" w:rsidR="00D5133A" w:rsidRPr="00D5133A" w:rsidRDefault="00D5133A" w:rsidP="00D5133A">
      <w:pPr>
        <w:numPr>
          <w:ilvl w:val="0"/>
          <w:numId w:val="10"/>
        </w:numPr>
        <w:spacing w:before="150" w:after="100" w:afterAutospacing="1"/>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t>Gaps in provision - services unavailable</w:t>
      </w:r>
    </w:p>
    <w:p w14:paraId="51A66536" w14:textId="4899C3C2" w:rsidR="00D5133A" w:rsidRPr="00D5133A" w:rsidRDefault="00D5133A" w:rsidP="00D5133A">
      <w:pPr>
        <w:numPr>
          <w:ilvl w:val="0"/>
          <w:numId w:val="10"/>
        </w:numPr>
        <w:spacing w:before="150" w:after="100" w:afterAutospacing="1"/>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t>Gaps in provision - rigid application of threshold criteria hampering combined inter-agency effort</w:t>
      </w:r>
    </w:p>
    <w:p w14:paraId="7785B1BD" w14:textId="4DF7D1A0" w:rsidR="00D5133A" w:rsidRPr="00D5133A" w:rsidRDefault="00D5133A" w:rsidP="00D5133A">
      <w:pPr>
        <w:numPr>
          <w:ilvl w:val="0"/>
          <w:numId w:val="10"/>
        </w:numPr>
        <w:spacing w:before="150" w:after="100" w:afterAutospacing="1"/>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t>Disputes amongst professionals, unresolved by line-managers</w:t>
      </w:r>
    </w:p>
    <w:p w14:paraId="5F0099CB" w14:textId="3731D366" w:rsidR="00D5133A" w:rsidRPr="00D5133A" w:rsidRDefault="00D5133A" w:rsidP="00D5133A">
      <w:pPr>
        <w:numPr>
          <w:ilvl w:val="0"/>
          <w:numId w:val="10"/>
        </w:numPr>
        <w:spacing w:before="150" w:after="100" w:afterAutospacing="1"/>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t>Professionals have become 'stuck', run out of ideas, repeating unproductive patterns of service delivery</w:t>
      </w:r>
    </w:p>
    <w:p w14:paraId="3518DD95" w14:textId="0D87B597" w:rsidR="00D5133A" w:rsidRPr="00D5133A" w:rsidRDefault="00D5133A" w:rsidP="00D5133A">
      <w:pPr>
        <w:numPr>
          <w:ilvl w:val="0"/>
          <w:numId w:val="10"/>
        </w:numPr>
        <w:spacing w:before="150" w:after="100" w:afterAutospacing="1"/>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t>Gaps in specialist knowledge/assessment currently available to planning group</w:t>
      </w:r>
    </w:p>
    <w:p w14:paraId="15F978FE" w14:textId="77777777" w:rsidR="00D5133A" w:rsidRPr="00D5133A" w:rsidRDefault="00D5133A" w:rsidP="00D5133A">
      <w:pPr>
        <w:outlineLvl w:val="3"/>
        <w:rPr>
          <w:rFonts w:ascii="Calibri" w:eastAsia="Times New Roman" w:hAnsi="Calibri" w:cs="Calibri"/>
          <w:b/>
          <w:bCs/>
          <w:color w:val="000000"/>
          <w:sz w:val="26"/>
          <w:szCs w:val="26"/>
          <w:lang w:eastAsia="en-GB"/>
        </w:rPr>
      </w:pPr>
      <w:r w:rsidRPr="00B028BC">
        <w:rPr>
          <w:rFonts w:ascii="Calibri" w:eastAsia="Times New Roman" w:hAnsi="Calibri" w:cs="Calibri"/>
          <w:b/>
          <w:bCs/>
          <w:color w:val="000000"/>
          <w:sz w:val="27"/>
          <w:szCs w:val="27"/>
          <w:lang w:eastAsia="en-GB"/>
        </w:rPr>
        <w:t>Leading</w:t>
      </w:r>
      <w:r w:rsidRPr="00D5133A">
        <w:rPr>
          <w:rFonts w:ascii="Calibri" w:eastAsia="Times New Roman" w:hAnsi="Calibri" w:cs="Calibri"/>
          <w:b/>
          <w:bCs/>
          <w:color w:val="000000"/>
          <w:sz w:val="26"/>
          <w:szCs w:val="26"/>
          <w:lang w:eastAsia="en-GB"/>
        </w:rPr>
        <w:t xml:space="preserve"> to:</w:t>
      </w:r>
    </w:p>
    <w:p w14:paraId="1EA37647" w14:textId="77777777" w:rsidR="00D5133A" w:rsidRPr="00B028BC" w:rsidRDefault="00D5133A" w:rsidP="00D5133A">
      <w:pPr>
        <w:outlineLvl w:val="4"/>
        <w:rPr>
          <w:rFonts w:ascii="Calibri" w:eastAsia="Times New Roman" w:hAnsi="Calibri" w:cs="Calibri"/>
          <w:b/>
          <w:bCs/>
          <w:color w:val="000000"/>
          <w:sz w:val="27"/>
          <w:szCs w:val="27"/>
          <w:lang w:eastAsia="en-GB"/>
        </w:rPr>
      </w:pPr>
      <w:r w:rsidRPr="00B028BC">
        <w:rPr>
          <w:rFonts w:ascii="Calibri" w:eastAsia="Times New Roman" w:hAnsi="Calibri" w:cs="Calibri"/>
          <w:b/>
          <w:bCs/>
          <w:color w:val="000000"/>
          <w:sz w:val="27"/>
          <w:szCs w:val="27"/>
          <w:lang w:eastAsia="en-GB"/>
        </w:rPr>
        <w:t>Child/Young person's increased risk of:</w:t>
      </w:r>
    </w:p>
    <w:p w14:paraId="7FFD38A3" w14:textId="2A4E2AEA" w:rsidR="00D5133A" w:rsidRPr="00D5133A" w:rsidRDefault="00D5133A" w:rsidP="00D5133A">
      <w:pPr>
        <w:numPr>
          <w:ilvl w:val="0"/>
          <w:numId w:val="11"/>
        </w:numPr>
        <w:spacing w:before="150" w:after="100" w:afterAutospacing="1"/>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t>Abuse/neglect</w:t>
      </w:r>
    </w:p>
    <w:p w14:paraId="3072C3EB" w14:textId="13D10A4F" w:rsidR="00D5133A" w:rsidRPr="00D5133A" w:rsidRDefault="00D5133A" w:rsidP="00D5133A">
      <w:pPr>
        <w:numPr>
          <w:ilvl w:val="0"/>
          <w:numId w:val="11"/>
        </w:numPr>
        <w:spacing w:before="150" w:after="100" w:afterAutospacing="1"/>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t>Self-harm/risky behaviours</w:t>
      </w:r>
    </w:p>
    <w:p w14:paraId="3DD2EE34" w14:textId="55852E1F" w:rsidR="00D5133A" w:rsidRPr="00D5133A" w:rsidRDefault="00D5133A" w:rsidP="00D5133A">
      <w:pPr>
        <w:numPr>
          <w:ilvl w:val="0"/>
          <w:numId w:val="11"/>
        </w:numPr>
        <w:spacing w:before="150" w:after="100" w:afterAutospacing="1"/>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t>Harm to others</w:t>
      </w:r>
    </w:p>
    <w:p w14:paraId="600926F1" w14:textId="714748A8" w:rsidR="00D5133A" w:rsidRPr="00D5133A" w:rsidRDefault="00D5133A" w:rsidP="00D5133A">
      <w:pPr>
        <w:numPr>
          <w:ilvl w:val="0"/>
          <w:numId w:val="11"/>
        </w:numPr>
        <w:spacing w:before="150" w:after="100" w:afterAutospacing="1"/>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t>Long-term dislocation from family and community</w:t>
      </w:r>
    </w:p>
    <w:p w14:paraId="5A27D486" w14:textId="425CACF1" w:rsidR="00D5133A" w:rsidRPr="00D5133A" w:rsidRDefault="00D5133A" w:rsidP="00D5133A">
      <w:pPr>
        <w:pBdr>
          <w:bottom w:val="single" w:sz="6" w:space="0" w:color="439CB1"/>
        </w:pBdr>
        <w:outlineLvl w:val="2"/>
        <w:rPr>
          <w:rFonts w:ascii="Calibri" w:eastAsia="Times New Roman" w:hAnsi="Calibri" w:cs="Calibri"/>
          <w:b/>
          <w:bCs/>
          <w:color w:val="000000"/>
          <w:sz w:val="31"/>
          <w:szCs w:val="31"/>
          <w:lang w:eastAsia="en-GB"/>
        </w:rPr>
      </w:pPr>
      <w:r w:rsidRPr="00D5133A">
        <w:rPr>
          <w:rFonts w:ascii="Calibri" w:eastAsia="Times New Roman" w:hAnsi="Calibri" w:cs="Calibri"/>
          <w:b/>
          <w:bCs/>
          <w:color w:val="000000"/>
          <w:sz w:val="31"/>
          <w:szCs w:val="31"/>
          <w:lang w:eastAsia="en-GB"/>
        </w:rPr>
        <w:t xml:space="preserve">12. Intended </w:t>
      </w:r>
      <w:r w:rsidR="00B028BC">
        <w:rPr>
          <w:rFonts w:ascii="Calibri" w:eastAsia="Times New Roman" w:hAnsi="Calibri" w:cs="Calibri"/>
          <w:b/>
          <w:bCs/>
          <w:color w:val="000000"/>
          <w:sz w:val="31"/>
          <w:szCs w:val="31"/>
          <w:lang w:eastAsia="en-GB"/>
        </w:rPr>
        <w:t>o</w:t>
      </w:r>
      <w:r w:rsidRPr="00D5133A">
        <w:rPr>
          <w:rFonts w:ascii="Calibri" w:eastAsia="Times New Roman" w:hAnsi="Calibri" w:cs="Calibri"/>
          <w:b/>
          <w:bCs/>
          <w:color w:val="000000"/>
          <w:sz w:val="31"/>
          <w:szCs w:val="31"/>
          <w:lang w:eastAsia="en-GB"/>
        </w:rPr>
        <w:t xml:space="preserve">utcomes of the </w:t>
      </w:r>
      <w:r w:rsidR="00B028BC">
        <w:rPr>
          <w:rFonts w:ascii="Calibri" w:eastAsia="Times New Roman" w:hAnsi="Calibri" w:cs="Calibri"/>
          <w:b/>
          <w:bCs/>
          <w:color w:val="000000"/>
          <w:sz w:val="31"/>
          <w:szCs w:val="31"/>
          <w:lang w:eastAsia="en-GB"/>
        </w:rPr>
        <w:t>p</w:t>
      </w:r>
      <w:r w:rsidRPr="00D5133A">
        <w:rPr>
          <w:rFonts w:ascii="Calibri" w:eastAsia="Times New Roman" w:hAnsi="Calibri" w:cs="Calibri"/>
          <w:b/>
          <w:bCs/>
          <w:color w:val="000000"/>
          <w:sz w:val="31"/>
          <w:szCs w:val="31"/>
          <w:lang w:eastAsia="en-GB"/>
        </w:rPr>
        <w:t>rocess</w:t>
      </w:r>
    </w:p>
    <w:p w14:paraId="451104E0" w14:textId="77777777" w:rsidR="00D5133A" w:rsidRPr="00D5133A" w:rsidRDefault="00D5133A" w:rsidP="00D5133A">
      <w:pPr>
        <w:spacing w:before="150" w:after="150"/>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t>Discussion leads to:</w:t>
      </w:r>
    </w:p>
    <w:p w14:paraId="38F4EA4E" w14:textId="68371777" w:rsidR="00D5133A" w:rsidRPr="00D5133A" w:rsidRDefault="00D5133A" w:rsidP="00D5133A">
      <w:pPr>
        <w:numPr>
          <w:ilvl w:val="0"/>
          <w:numId w:val="12"/>
        </w:numPr>
        <w:spacing w:before="150" w:after="100" w:afterAutospacing="1"/>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t>Consensus about levels of risk and management accountability at senior management level</w:t>
      </w:r>
    </w:p>
    <w:p w14:paraId="26CD7F84" w14:textId="00FC9D00" w:rsidR="00D5133A" w:rsidRPr="00D5133A" w:rsidRDefault="00D5133A" w:rsidP="00D5133A">
      <w:pPr>
        <w:numPr>
          <w:ilvl w:val="0"/>
          <w:numId w:val="12"/>
        </w:numPr>
        <w:spacing w:before="150" w:after="100" w:afterAutospacing="1"/>
        <w:rPr>
          <w:rFonts w:ascii="Calibri" w:eastAsia="Times New Roman" w:hAnsi="Calibri" w:cs="Calibri"/>
          <w:color w:val="000000"/>
          <w:sz w:val="27"/>
          <w:szCs w:val="27"/>
          <w:lang w:eastAsia="en-GB"/>
        </w:rPr>
      </w:pPr>
      <w:r>
        <w:rPr>
          <w:rFonts w:ascii="Calibri" w:eastAsia="Times New Roman" w:hAnsi="Calibri" w:cs="Calibri"/>
          <w:color w:val="000000"/>
          <w:sz w:val="27"/>
          <w:szCs w:val="27"/>
          <w:lang w:eastAsia="en-GB"/>
        </w:rPr>
        <w:t>Ensuring there is a</w:t>
      </w:r>
      <w:r w:rsidRPr="00D5133A">
        <w:rPr>
          <w:rFonts w:ascii="Calibri" w:eastAsia="Times New Roman" w:hAnsi="Calibri" w:cs="Calibri"/>
          <w:color w:val="000000"/>
          <w:sz w:val="27"/>
          <w:szCs w:val="27"/>
          <w:lang w:eastAsia="en-GB"/>
        </w:rPr>
        <w:t xml:space="preserve"> single risk management plan adopted by all agencies involved with child. This should include contingencies to deal with unexpected or short-term crises</w:t>
      </w:r>
      <w:r w:rsidR="00D07AF9">
        <w:rPr>
          <w:rFonts w:ascii="Calibri" w:eastAsia="Times New Roman" w:hAnsi="Calibri" w:cs="Calibri"/>
          <w:color w:val="000000"/>
          <w:sz w:val="27"/>
          <w:szCs w:val="27"/>
          <w:lang w:eastAsia="en-GB"/>
        </w:rPr>
        <w:t xml:space="preserve"> </w:t>
      </w:r>
      <w:proofErr w:type="gramStart"/>
      <w:r w:rsidR="00D07AF9">
        <w:rPr>
          <w:rFonts w:ascii="Calibri" w:eastAsia="Times New Roman" w:hAnsi="Calibri" w:cs="Calibri"/>
          <w:color w:val="000000"/>
          <w:sz w:val="27"/>
          <w:szCs w:val="27"/>
          <w:lang w:eastAsia="en-GB"/>
        </w:rPr>
        <w:t xml:space="preserve">and </w:t>
      </w:r>
      <w:r w:rsidRPr="00D5133A">
        <w:rPr>
          <w:rFonts w:ascii="Calibri" w:eastAsia="Times New Roman" w:hAnsi="Calibri" w:cs="Calibri"/>
          <w:color w:val="000000"/>
          <w:sz w:val="27"/>
          <w:szCs w:val="27"/>
          <w:lang w:eastAsia="en-GB"/>
        </w:rPr>
        <w:t xml:space="preserve"> increased</w:t>
      </w:r>
      <w:proofErr w:type="gramEnd"/>
      <w:r w:rsidRPr="00D5133A">
        <w:rPr>
          <w:rFonts w:ascii="Calibri" w:eastAsia="Times New Roman" w:hAnsi="Calibri" w:cs="Calibri"/>
          <w:color w:val="000000"/>
          <w:sz w:val="27"/>
          <w:szCs w:val="27"/>
          <w:lang w:eastAsia="en-GB"/>
        </w:rPr>
        <w:t xml:space="preserve"> risks</w:t>
      </w:r>
    </w:p>
    <w:p w14:paraId="34A1A1E0" w14:textId="694B9F74" w:rsidR="00D5133A" w:rsidRPr="00D5133A" w:rsidRDefault="00D5133A" w:rsidP="00D5133A">
      <w:pPr>
        <w:numPr>
          <w:ilvl w:val="0"/>
          <w:numId w:val="12"/>
        </w:numPr>
        <w:spacing w:before="150" w:after="100" w:afterAutospacing="1"/>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t>Actions agreed by individual agencies to 'unblock' progress, to reduce risk and improve outcomes within specific timescales;</w:t>
      </w:r>
      <w:r>
        <w:rPr>
          <w:rFonts w:ascii="Calibri" w:eastAsia="Times New Roman" w:hAnsi="Calibri" w:cs="Calibri"/>
          <w:color w:val="000000"/>
          <w:sz w:val="27"/>
          <w:szCs w:val="27"/>
          <w:lang w:eastAsia="en-GB"/>
        </w:rPr>
        <w:t xml:space="preserve"> named professionals who will help, further to the panel discussion</w:t>
      </w:r>
    </w:p>
    <w:p w14:paraId="37CBEDAF" w14:textId="15311CCE" w:rsidR="00D5133A" w:rsidRPr="00D5133A" w:rsidRDefault="00D5133A" w:rsidP="00D5133A">
      <w:pPr>
        <w:numPr>
          <w:ilvl w:val="0"/>
          <w:numId w:val="12"/>
        </w:numPr>
        <w:spacing w:before="150" w:after="100" w:afterAutospacing="1"/>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t>In-principle agreements about contributions of resources/shared funding (some of which may be subject to confirmation by agencies)</w:t>
      </w:r>
    </w:p>
    <w:p w14:paraId="757BAD13" w14:textId="5F325572" w:rsidR="00D5133A" w:rsidRPr="00D5133A" w:rsidRDefault="00D5133A" w:rsidP="00D5133A">
      <w:pPr>
        <w:numPr>
          <w:ilvl w:val="0"/>
          <w:numId w:val="12"/>
        </w:numPr>
        <w:spacing w:before="150" w:after="100" w:afterAutospacing="1"/>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t>Communication and monitoring arrangements</w:t>
      </w:r>
      <w:r>
        <w:rPr>
          <w:rFonts w:ascii="Calibri" w:eastAsia="Times New Roman" w:hAnsi="Calibri" w:cs="Calibri"/>
          <w:color w:val="000000"/>
          <w:sz w:val="27"/>
          <w:szCs w:val="27"/>
          <w:lang w:eastAsia="en-GB"/>
        </w:rPr>
        <w:t xml:space="preserve"> by panel members who have agreed actions</w:t>
      </w:r>
    </w:p>
    <w:p w14:paraId="24AB9B7A" w14:textId="4F3174B1" w:rsidR="00D5133A" w:rsidRPr="00D5133A" w:rsidRDefault="00D5133A" w:rsidP="00D5133A">
      <w:pPr>
        <w:numPr>
          <w:ilvl w:val="0"/>
          <w:numId w:val="12"/>
        </w:numPr>
        <w:spacing w:before="150" w:after="100" w:afterAutospacing="1"/>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t xml:space="preserve">Progress reporting requirements, including timescale. The panel will decide whether </w:t>
      </w:r>
      <w:r>
        <w:rPr>
          <w:rFonts w:ascii="Calibri" w:eastAsia="Times New Roman" w:hAnsi="Calibri" w:cs="Calibri"/>
          <w:color w:val="000000"/>
          <w:sz w:val="27"/>
          <w:szCs w:val="27"/>
          <w:lang w:eastAsia="en-GB"/>
        </w:rPr>
        <w:t xml:space="preserve">update </w:t>
      </w:r>
      <w:r w:rsidRPr="00D5133A">
        <w:rPr>
          <w:rFonts w:ascii="Calibri" w:eastAsia="Times New Roman" w:hAnsi="Calibri" w:cs="Calibri"/>
          <w:color w:val="000000"/>
          <w:sz w:val="27"/>
          <w:szCs w:val="27"/>
          <w:lang w:eastAsia="en-GB"/>
        </w:rPr>
        <w:t>reports should be made in writing or in person to a future panel</w:t>
      </w:r>
    </w:p>
    <w:p w14:paraId="66786E9C" w14:textId="77777777" w:rsidR="00D5133A" w:rsidRPr="00D5133A" w:rsidRDefault="00D5133A" w:rsidP="00D5133A">
      <w:pPr>
        <w:pBdr>
          <w:bottom w:val="single" w:sz="6" w:space="0" w:color="439CB1"/>
        </w:pBdr>
        <w:outlineLvl w:val="2"/>
        <w:rPr>
          <w:rFonts w:ascii="Calibri" w:eastAsia="Times New Roman" w:hAnsi="Calibri" w:cs="Calibri"/>
          <w:b/>
          <w:bCs/>
          <w:color w:val="000000"/>
          <w:sz w:val="31"/>
          <w:szCs w:val="31"/>
          <w:lang w:eastAsia="en-GB"/>
        </w:rPr>
      </w:pPr>
      <w:r w:rsidRPr="00D5133A">
        <w:rPr>
          <w:rFonts w:ascii="Calibri" w:eastAsia="Times New Roman" w:hAnsi="Calibri" w:cs="Calibri"/>
          <w:b/>
          <w:bCs/>
          <w:color w:val="000000"/>
          <w:sz w:val="31"/>
          <w:szCs w:val="31"/>
          <w:lang w:eastAsia="en-GB"/>
        </w:rPr>
        <w:lastRenderedPageBreak/>
        <w:t>13. Process</w:t>
      </w:r>
    </w:p>
    <w:p w14:paraId="353847F7" w14:textId="38E6972A" w:rsidR="00D5133A" w:rsidRPr="00D5133A" w:rsidRDefault="00D5133A" w:rsidP="00D5133A">
      <w:pPr>
        <w:outlineLvl w:val="3"/>
        <w:rPr>
          <w:rFonts w:ascii="Calibri" w:eastAsia="Times New Roman" w:hAnsi="Calibri" w:cs="Calibri"/>
          <w:b/>
          <w:bCs/>
          <w:color w:val="000000"/>
          <w:sz w:val="26"/>
          <w:szCs w:val="26"/>
          <w:lang w:eastAsia="en-GB"/>
        </w:rPr>
      </w:pPr>
      <w:r w:rsidRPr="00D5133A">
        <w:rPr>
          <w:rFonts w:ascii="Calibri" w:eastAsia="Times New Roman" w:hAnsi="Calibri" w:cs="Calibri"/>
          <w:b/>
          <w:bCs/>
          <w:color w:val="000000"/>
          <w:sz w:val="26"/>
          <w:szCs w:val="26"/>
          <w:lang w:eastAsia="en-GB"/>
        </w:rPr>
        <w:t>i. Request for </w:t>
      </w:r>
      <w:r w:rsidR="00B028BC">
        <w:rPr>
          <w:rFonts w:ascii="Calibri" w:eastAsia="Times New Roman" w:hAnsi="Calibri" w:cs="Calibri"/>
          <w:b/>
          <w:bCs/>
          <w:color w:val="000000"/>
          <w:sz w:val="26"/>
          <w:szCs w:val="26"/>
          <w:lang w:eastAsia="en-GB"/>
        </w:rPr>
        <w:t>c</w:t>
      </w:r>
      <w:r w:rsidRPr="00D5133A">
        <w:rPr>
          <w:rFonts w:ascii="Calibri" w:eastAsia="Times New Roman" w:hAnsi="Calibri" w:cs="Calibri"/>
          <w:b/>
          <w:bCs/>
          <w:color w:val="000000"/>
          <w:sz w:val="26"/>
          <w:szCs w:val="26"/>
          <w:lang w:eastAsia="en-GB"/>
        </w:rPr>
        <w:t>omplex </w:t>
      </w:r>
      <w:r w:rsidR="00B028BC">
        <w:rPr>
          <w:rFonts w:ascii="Calibri" w:eastAsia="Times New Roman" w:hAnsi="Calibri" w:cs="Calibri"/>
          <w:b/>
          <w:bCs/>
          <w:color w:val="000000"/>
          <w:sz w:val="26"/>
          <w:szCs w:val="26"/>
          <w:lang w:eastAsia="en-GB"/>
        </w:rPr>
        <w:t>c</w:t>
      </w:r>
      <w:r>
        <w:rPr>
          <w:rFonts w:ascii="Calibri" w:eastAsia="Times New Roman" w:hAnsi="Calibri" w:cs="Calibri"/>
          <w:b/>
          <w:bCs/>
          <w:color w:val="000000"/>
          <w:sz w:val="26"/>
          <w:szCs w:val="26"/>
          <w:lang w:eastAsia="en-GB"/>
        </w:rPr>
        <w:t>hild</w:t>
      </w:r>
      <w:r w:rsidRPr="00D5133A">
        <w:rPr>
          <w:rFonts w:ascii="Calibri" w:eastAsia="Times New Roman" w:hAnsi="Calibri" w:cs="Calibri"/>
          <w:b/>
          <w:bCs/>
          <w:color w:val="000000"/>
          <w:sz w:val="26"/>
          <w:szCs w:val="26"/>
          <w:lang w:eastAsia="en-GB"/>
        </w:rPr>
        <w:t> </w:t>
      </w:r>
      <w:r>
        <w:rPr>
          <w:rFonts w:ascii="Calibri" w:eastAsia="Times New Roman" w:hAnsi="Calibri" w:cs="Calibri"/>
          <w:b/>
          <w:bCs/>
          <w:color w:val="000000"/>
          <w:sz w:val="26"/>
          <w:szCs w:val="26"/>
          <w:lang w:eastAsia="en-GB"/>
        </w:rPr>
        <w:t>d</w:t>
      </w:r>
      <w:r w:rsidRPr="00D5133A">
        <w:rPr>
          <w:rFonts w:ascii="Calibri" w:eastAsia="Times New Roman" w:hAnsi="Calibri" w:cs="Calibri"/>
          <w:b/>
          <w:bCs/>
          <w:color w:val="000000"/>
          <w:sz w:val="26"/>
          <w:szCs w:val="26"/>
          <w:lang w:eastAsia="en-GB"/>
        </w:rPr>
        <w:t xml:space="preserve">iscussion at </w:t>
      </w:r>
      <w:r w:rsidR="00B028BC">
        <w:rPr>
          <w:rFonts w:ascii="Calibri" w:eastAsia="Times New Roman" w:hAnsi="Calibri" w:cs="Calibri"/>
          <w:b/>
          <w:bCs/>
          <w:color w:val="000000"/>
          <w:sz w:val="26"/>
          <w:szCs w:val="26"/>
          <w:lang w:eastAsia="en-GB"/>
        </w:rPr>
        <w:t>p</w:t>
      </w:r>
      <w:r w:rsidRPr="00D5133A">
        <w:rPr>
          <w:rFonts w:ascii="Calibri" w:eastAsia="Times New Roman" w:hAnsi="Calibri" w:cs="Calibri"/>
          <w:b/>
          <w:bCs/>
          <w:color w:val="000000"/>
          <w:sz w:val="26"/>
          <w:szCs w:val="26"/>
          <w:lang w:eastAsia="en-GB"/>
        </w:rPr>
        <w:t>anel</w:t>
      </w:r>
    </w:p>
    <w:p w14:paraId="4B2D9AC8" w14:textId="0FBC55E9" w:rsidR="00D5133A" w:rsidRPr="00D5133A" w:rsidRDefault="00D5133A" w:rsidP="00D5133A">
      <w:pPr>
        <w:spacing w:before="150" w:after="150"/>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t>Any agency can propose that a young person should be discussed at the complex c</w:t>
      </w:r>
      <w:r>
        <w:rPr>
          <w:rFonts w:ascii="Calibri" w:eastAsia="Times New Roman" w:hAnsi="Calibri" w:cs="Calibri"/>
          <w:color w:val="000000"/>
          <w:sz w:val="27"/>
          <w:szCs w:val="27"/>
          <w:lang w:eastAsia="en-GB"/>
        </w:rPr>
        <w:t>hild</w:t>
      </w:r>
      <w:r w:rsidRPr="00D5133A">
        <w:rPr>
          <w:rFonts w:ascii="Calibri" w:eastAsia="Times New Roman" w:hAnsi="Calibri" w:cs="Calibri"/>
          <w:color w:val="000000"/>
          <w:sz w:val="27"/>
          <w:szCs w:val="27"/>
          <w:lang w:eastAsia="en-GB"/>
        </w:rPr>
        <w:t> panel with reference to the agreed criteria, so long as the normal case planning, conferencing or dispute resolution processes have been tried and failed to improve outcomes.</w:t>
      </w:r>
    </w:p>
    <w:p w14:paraId="2F97D282" w14:textId="7706C472" w:rsidR="00D5133A" w:rsidRPr="00D5133A" w:rsidRDefault="00D5133A" w:rsidP="00D5133A">
      <w:pPr>
        <w:spacing w:before="150" w:after="150"/>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t>The reason for bringing the </w:t>
      </w:r>
      <w:r w:rsidRPr="00F23ABC">
        <w:rPr>
          <w:rFonts w:ascii="Calibri" w:eastAsia="Times New Roman" w:hAnsi="Calibri" w:cs="Calibri"/>
          <w:color w:val="000000"/>
          <w:sz w:val="27"/>
          <w:szCs w:val="27"/>
          <w:lang w:eastAsia="en-GB"/>
        </w:rPr>
        <w:t>case</w:t>
      </w:r>
      <w:r w:rsidRPr="00D5133A">
        <w:rPr>
          <w:rFonts w:ascii="Calibri" w:eastAsia="Times New Roman" w:hAnsi="Calibri" w:cs="Calibri"/>
          <w:color w:val="000000"/>
          <w:sz w:val="27"/>
          <w:szCs w:val="27"/>
          <w:lang w:eastAsia="en-GB"/>
        </w:rPr>
        <w:t> must be presented to the agency's senior manager and authorised within line management structures.</w:t>
      </w:r>
    </w:p>
    <w:p w14:paraId="6E73959F" w14:textId="77777777" w:rsidR="00D5133A" w:rsidRPr="00D5133A" w:rsidRDefault="00D5133A" w:rsidP="00D5133A">
      <w:pPr>
        <w:spacing w:before="150" w:after="150"/>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t>The child's key social worker should be consulted about the referral to ensure the timing is congruent with other processes affecting the </w:t>
      </w:r>
      <w:r w:rsidRPr="00F23ABC">
        <w:rPr>
          <w:rFonts w:ascii="Calibri" w:eastAsia="Times New Roman" w:hAnsi="Calibri" w:cs="Calibri"/>
          <w:color w:val="000000"/>
          <w:sz w:val="27"/>
          <w:szCs w:val="27"/>
          <w:lang w:eastAsia="en-GB"/>
        </w:rPr>
        <w:t>case</w:t>
      </w:r>
      <w:r w:rsidRPr="00D5133A">
        <w:rPr>
          <w:rFonts w:ascii="Calibri" w:eastAsia="Times New Roman" w:hAnsi="Calibri" w:cs="Calibri"/>
          <w:color w:val="000000"/>
          <w:sz w:val="27"/>
          <w:szCs w:val="27"/>
          <w:lang w:eastAsia="en-GB"/>
        </w:rPr>
        <w:t>. For example, if the </w:t>
      </w:r>
      <w:r w:rsidRPr="00F23ABC">
        <w:rPr>
          <w:rFonts w:ascii="Calibri" w:eastAsia="Times New Roman" w:hAnsi="Calibri" w:cs="Calibri"/>
          <w:color w:val="000000"/>
          <w:sz w:val="27"/>
          <w:szCs w:val="27"/>
          <w:lang w:eastAsia="en-GB"/>
        </w:rPr>
        <w:t>case</w:t>
      </w:r>
      <w:r w:rsidRPr="00D5133A">
        <w:rPr>
          <w:rFonts w:ascii="Calibri" w:eastAsia="Times New Roman" w:hAnsi="Calibri" w:cs="Calibri"/>
          <w:color w:val="000000"/>
          <w:sz w:val="27"/>
          <w:szCs w:val="27"/>
          <w:lang w:eastAsia="en-GB"/>
        </w:rPr>
        <w:t> is about to receive an expert assessment or decision in care proceedings, the referral to the panel may not be timely.</w:t>
      </w:r>
    </w:p>
    <w:p w14:paraId="633FF124" w14:textId="77777777" w:rsidR="00D5133A" w:rsidRPr="00D5133A" w:rsidRDefault="00D5133A" w:rsidP="00D5133A">
      <w:pPr>
        <w:spacing w:before="150" w:after="150"/>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t>Where possible, the referring agency should bring the </w:t>
      </w:r>
      <w:r w:rsidRPr="00F23ABC">
        <w:rPr>
          <w:rFonts w:ascii="Calibri" w:eastAsia="Times New Roman" w:hAnsi="Calibri" w:cs="Calibri"/>
          <w:color w:val="000000"/>
          <w:sz w:val="27"/>
          <w:szCs w:val="27"/>
          <w:lang w:eastAsia="en-GB"/>
        </w:rPr>
        <w:t>case</w:t>
      </w:r>
      <w:r w:rsidRPr="00D5133A">
        <w:rPr>
          <w:rFonts w:ascii="Calibri" w:eastAsia="Times New Roman" w:hAnsi="Calibri" w:cs="Calibri"/>
          <w:color w:val="000000"/>
          <w:sz w:val="27"/>
          <w:szCs w:val="27"/>
          <w:lang w:eastAsia="en-GB"/>
        </w:rPr>
        <w:t> jointly with the child's key social worker. The referring agency should not request that the social worker bring the </w:t>
      </w:r>
      <w:r w:rsidRPr="00F23ABC">
        <w:rPr>
          <w:rFonts w:ascii="Calibri" w:eastAsia="Times New Roman" w:hAnsi="Calibri" w:cs="Calibri"/>
          <w:color w:val="000000"/>
          <w:sz w:val="27"/>
          <w:szCs w:val="27"/>
          <w:lang w:eastAsia="en-GB"/>
        </w:rPr>
        <w:t>case</w:t>
      </w:r>
      <w:r w:rsidRPr="00D5133A">
        <w:rPr>
          <w:rFonts w:ascii="Calibri" w:eastAsia="Times New Roman" w:hAnsi="Calibri" w:cs="Calibri"/>
          <w:color w:val="000000"/>
          <w:sz w:val="27"/>
          <w:szCs w:val="27"/>
          <w:lang w:eastAsia="en-GB"/>
        </w:rPr>
        <w:t> to panel and not attend or follow through with their reasons.</w:t>
      </w:r>
    </w:p>
    <w:p w14:paraId="2712E000" w14:textId="47FE3EA3" w:rsidR="00D5133A" w:rsidRPr="00D5133A" w:rsidRDefault="00D5133A" w:rsidP="00D5133A">
      <w:pPr>
        <w:spacing w:before="150" w:after="150"/>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t>Where the child's current plan is being overseen within the child protection or looked after</w:t>
      </w:r>
      <w:r>
        <w:rPr>
          <w:rFonts w:ascii="Calibri" w:eastAsia="Times New Roman" w:hAnsi="Calibri" w:cs="Calibri"/>
          <w:color w:val="000000"/>
          <w:sz w:val="27"/>
          <w:szCs w:val="27"/>
          <w:lang w:eastAsia="en-GB"/>
        </w:rPr>
        <w:t xml:space="preserve"> children’s</w:t>
      </w:r>
      <w:r w:rsidRPr="00D5133A">
        <w:rPr>
          <w:rFonts w:ascii="Calibri" w:eastAsia="Times New Roman" w:hAnsi="Calibri" w:cs="Calibri"/>
          <w:color w:val="000000"/>
          <w:sz w:val="27"/>
          <w:szCs w:val="27"/>
          <w:lang w:eastAsia="en-GB"/>
        </w:rPr>
        <w:t xml:space="preserve"> framework, the referral should be discussed with the independent reviewing officer or independent chair.</w:t>
      </w:r>
    </w:p>
    <w:p w14:paraId="1A282563" w14:textId="44656D4F" w:rsidR="00D5133A" w:rsidRPr="00D5133A" w:rsidRDefault="00D5133A" w:rsidP="00D5133A">
      <w:pPr>
        <w:spacing w:before="150" w:after="150"/>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t xml:space="preserve">Once agreement has been obtained, the request should be passed to the administrator at least two weeks in advance of the panel, so that written information is sent out in advance and agencies can check their </w:t>
      </w:r>
      <w:r>
        <w:rPr>
          <w:rFonts w:ascii="Calibri" w:eastAsia="Times New Roman" w:hAnsi="Calibri" w:cs="Calibri"/>
          <w:color w:val="000000"/>
          <w:sz w:val="27"/>
          <w:szCs w:val="27"/>
          <w:lang w:eastAsia="en-GB"/>
        </w:rPr>
        <w:t>record</w:t>
      </w:r>
      <w:r w:rsidR="00EB5414">
        <w:rPr>
          <w:rFonts w:ascii="Calibri" w:eastAsia="Times New Roman" w:hAnsi="Calibri" w:cs="Calibri"/>
          <w:color w:val="000000"/>
          <w:sz w:val="27"/>
          <w:szCs w:val="27"/>
          <w:lang w:eastAsia="en-GB"/>
        </w:rPr>
        <w:t xml:space="preserve"> </w:t>
      </w:r>
      <w:r w:rsidRPr="00D5133A">
        <w:rPr>
          <w:rFonts w:ascii="Calibri" w:eastAsia="Times New Roman" w:hAnsi="Calibri" w:cs="Calibri"/>
          <w:color w:val="000000"/>
          <w:sz w:val="27"/>
          <w:szCs w:val="27"/>
          <w:lang w:eastAsia="en-GB"/>
        </w:rPr>
        <w:t>systems.</w:t>
      </w:r>
    </w:p>
    <w:p w14:paraId="112F0216" w14:textId="7AF1B3F9" w:rsidR="00D5133A" w:rsidRPr="00D5133A" w:rsidRDefault="00D5133A" w:rsidP="00D5133A">
      <w:pPr>
        <w:outlineLvl w:val="3"/>
        <w:rPr>
          <w:rFonts w:ascii="Calibri" w:eastAsia="Times New Roman" w:hAnsi="Calibri" w:cs="Calibri"/>
          <w:b/>
          <w:bCs/>
          <w:color w:val="000000"/>
          <w:sz w:val="26"/>
          <w:szCs w:val="26"/>
          <w:lang w:eastAsia="en-GB"/>
        </w:rPr>
      </w:pPr>
      <w:r w:rsidRPr="00D5133A">
        <w:rPr>
          <w:rFonts w:ascii="Calibri" w:eastAsia="Times New Roman" w:hAnsi="Calibri" w:cs="Calibri"/>
          <w:b/>
          <w:bCs/>
          <w:color w:val="000000"/>
          <w:sz w:val="26"/>
          <w:szCs w:val="26"/>
          <w:lang w:eastAsia="en-GB"/>
        </w:rPr>
        <w:t xml:space="preserve">ii. Written </w:t>
      </w:r>
      <w:r w:rsidR="00B028BC">
        <w:rPr>
          <w:rFonts w:ascii="Calibri" w:eastAsia="Times New Roman" w:hAnsi="Calibri" w:cs="Calibri"/>
          <w:b/>
          <w:bCs/>
          <w:color w:val="000000"/>
          <w:sz w:val="26"/>
          <w:szCs w:val="26"/>
          <w:lang w:eastAsia="en-GB"/>
        </w:rPr>
        <w:t>i</w:t>
      </w:r>
      <w:r w:rsidRPr="00D5133A">
        <w:rPr>
          <w:rFonts w:ascii="Calibri" w:eastAsia="Times New Roman" w:hAnsi="Calibri" w:cs="Calibri"/>
          <w:b/>
          <w:bCs/>
          <w:color w:val="000000"/>
          <w:sz w:val="26"/>
          <w:szCs w:val="26"/>
          <w:lang w:eastAsia="en-GB"/>
        </w:rPr>
        <w:t>nformation</w:t>
      </w:r>
    </w:p>
    <w:p w14:paraId="536FC588" w14:textId="021F4592" w:rsidR="00D5133A" w:rsidRPr="00D5133A" w:rsidRDefault="00D5133A" w:rsidP="00D5133A">
      <w:pPr>
        <w:spacing w:before="150" w:after="150"/>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t>The practitioner should ensure that a referral is completed (see template):</w:t>
      </w:r>
    </w:p>
    <w:p w14:paraId="01F9CD73" w14:textId="230C1620" w:rsidR="00D5133A" w:rsidRPr="00D5133A" w:rsidRDefault="00D5133A" w:rsidP="00D5133A">
      <w:pPr>
        <w:numPr>
          <w:ilvl w:val="0"/>
          <w:numId w:val="13"/>
        </w:numPr>
        <w:spacing w:before="150" w:after="100" w:afterAutospacing="1"/>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t>Basic information and family structure (and wider family/community networks where the connections are important)</w:t>
      </w:r>
    </w:p>
    <w:p w14:paraId="674B5C7D" w14:textId="21B97BE7" w:rsidR="00D5133A" w:rsidRPr="00D5133A" w:rsidRDefault="00D5133A" w:rsidP="00D5133A">
      <w:pPr>
        <w:numPr>
          <w:ilvl w:val="0"/>
          <w:numId w:val="13"/>
        </w:numPr>
        <w:spacing w:before="150" w:after="100" w:afterAutospacing="1"/>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t>Brief history and overview</w:t>
      </w:r>
    </w:p>
    <w:p w14:paraId="51280B97" w14:textId="63D3222F" w:rsidR="00D5133A" w:rsidRPr="00D5133A" w:rsidRDefault="00D5133A" w:rsidP="00D5133A">
      <w:pPr>
        <w:numPr>
          <w:ilvl w:val="0"/>
          <w:numId w:val="13"/>
        </w:numPr>
        <w:spacing w:before="150" w:after="100" w:afterAutospacing="1"/>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t>Any significant assessment information</w:t>
      </w:r>
    </w:p>
    <w:p w14:paraId="08518B15" w14:textId="35D35A0A" w:rsidR="00D5133A" w:rsidRPr="00D5133A" w:rsidRDefault="00D5133A" w:rsidP="00D5133A">
      <w:pPr>
        <w:numPr>
          <w:ilvl w:val="0"/>
          <w:numId w:val="13"/>
        </w:numPr>
        <w:spacing w:before="150" w:after="100" w:afterAutospacing="1"/>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t>Agencies/professionals involved</w:t>
      </w:r>
    </w:p>
    <w:p w14:paraId="3B515555" w14:textId="0831F9DE" w:rsidR="00D5133A" w:rsidRPr="00D5133A" w:rsidRDefault="00D5133A" w:rsidP="00D5133A">
      <w:pPr>
        <w:numPr>
          <w:ilvl w:val="0"/>
          <w:numId w:val="13"/>
        </w:numPr>
        <w:spacing w:before="150" w:after="100" w:afterAutospacing="1"/>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t>Analysis of current risks (known and unknown)</w:t>
      </w:r>
    </w:p>
    <w:p w14:paraId="3A437A44" w14:textId="004B7106" w:rsidR="00D5133A" w:rsidRPr="00D5133A" w:rsidRDefault="00D5133A" w:rsidP="00D5133A">
      <w:pPr>
        <w:numPr>
          <w:ilvl w:val="0"/>
          <w:numId w:val="13"/>
        </w:numPr>
        <w:spacing w:before="150" w:after="100" w:afterAutospacing="1"/>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t>Identified issues or obstacles to effective case planning or provision</w:t>
      </w:r>
    </w:p>
    <w:p w14:paraId="49B65B1E" w14:textId="3A8BB9B7" w:rsidR="00D5133A" w:rsidRPr="00D5133A" w:rsidRDefault="00D5133A" w:rsidP="00D5133A">
      <w:pPr>
        <w:numPr>
          <w:ilvl w:val="0"/>
          <w:numId w:val="13"/>
        </w:numPr>
        <w:spacing w:before="150" w:after="100" w:afterAutospacing="1"/>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t>The anticipated benefits of a complex c</w:t>
      </w:r>
      <w:r>
        <w:rPr>
          <w:rFonts w:ascii="Calibri" w:eastAsia="Times New Roman" w:hAnsi="Calibri" w:cs="Calibri"/>
          <w:color w:val="000000"/>
          <w:sz w:val="27"/>
          <w:szCs w:val="27"/>
          <w:lang w:eastAsia="en-GB"/>
        </w:rPr>
        <w:t>hild</w:t>
      </w:r>
      <w:r w:rsidRPr="00D5133A">
        <w:rPr>
          <w:rFonts w:ascii="Calibri" w:eastAsia="Times New Roman" w:hAnsi="Calibri" w:cs="Calibri"/>
          <w:color w:val="000000"/>
          <w:sz w:val="27"/>
          <w:szCs w:val="27"/>
          <w:lang w:eastAsia="en-GB"/>
        </w:rPr>
        <w:t> p</w:t>
      </w:r>
      <w:r>
        <w:rPr>
          <w:rFonts w:ascii="Calibri" w:eastAsia="Times New Roman" w:hAnsi="Calibri" w:cs="Calibri"/>
          <w:color w:val="000000"/>
          <w:sz w:val="27"/>
          <w:szCs w:val="27"/>
          <w:lang w:eastAsia="en-GB"/>
        </w:rPr>
        <w:t>anel discussion</w:t>
      </w:r>
    </w:p>
    <w:p w14:paraId="73D2749F" w14:textId="57EAA610" w:rsidR="00D5133A" w:rsidRPr="00D5133A" w:rsidRDefault="00D5133A" w:rsidP="00D5133A">
      <w:pPr>
        <w:numPr>
          <w:ilvl w:val="0"/>
          <w:numId w:val="13"/>
        </w:numPr>
        <w:spacing w:before="150" w:after="100" w:afterAutospacing="1"/>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t>Outcomes sought</w:t>
      </w:r>
    </w:p>
    <w:p w14:paraId="6BD0F916" w14:textId="77777777" w:rsidR="00D5133A" w:rsidRPr="00D5133A" w:rsidRDefault="00D5133A" w:rsidP="00D5133A">
      <w:pPr>
        <w:spacing w:before="150" w:after="150"/>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t>In addition, the following information should be prepared in advance for circulation to panel members:</w:t>
      </w:r>
    </w:p>
    <w:p w14:paraId="4AF0AE9D" w14:textId="5FF18B07" w:rsidR="00D5133A" w:rsidRPr="00D5133A" w:rsidRDefault="00D5133A" w:rsidP="00D5133A">
      <w:pPr>
        <w:numPr>
          <w:ilvl w:val="0"/>
          <w:numId w:val="14"/>
        </w:numPr>
        <w:spacing w:before="150" w:after="100" w:afterAutospacing="1"/>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lastRenderedPageBreak/>
        <w:t>Chronology, current risk assessment, last case review report (e.g. review case conference report)</w:t>
      </w:r>
    </w:p>
    <w:p w14:paraId="0E678CFD" w14:textId="5B146EB1" w:rsidR="00D5133A" w:rsidRPr="00D5133A" w:rsidRDefault="00D5133A" w:rsidP="00D5133A">
      <w:pPr>
        <w:outlineLvl w:val="3"/>
        <w:rPr>
          <w:rFonts w:ascii="Calibri" w:eastAsia="Times New Roman" w:hAnsi="Calibri" w:cs="Calibri"/>
          <w:b/>
          <w:bCs/>
          <w:color w:val="000000"/>
          <w:sz w:val="26"/>
          <w:szCs w:val="26"/>
          <w:lang w:eastAsia="en-GB"/>
        </w:rPr>
      </w:pPr>
      <w:r w:rsidRPr="00D5133A">
        <w:rPr>
          <w:rFonts w:ascii="Calibri" w:eastAsia="Times New Roman" w:hAnsi="Calibri" w:cs="Calibri"/>
          <w:b/>
          <w:bCs/>
          <w:color w:val="000000"/>
          <w:sz w:val="26"/>
          <w:szCs w:val="26"/>
          <w:lang w:eastAsia="en-GB"/>
        </w:rPr>
        <w:t xml:space="preserve">iii. Conducting the </w:t>
      </w:r>
      <w:r w:rsidR="00B028BC">
        <w:rPr>
          <w:rFonts w:ascii="Calibri" w:eastAsia="Times New Roman" w:hAnsi="Calibri" w:cs="Calibri"/>
          <w:b/>
          <w:bCs/>
          <w:color w:val="000000"/>
          <w:sz w:val="26"/>
          <w:szCs w:val="26"/>
          <w:lang w:eastAsia="en-GB"/>
        </w:rPr>
        <w:t>p</w:t>
      </w:r>
      <w:r w:rsidRPr="00D5133A">
        <w:rPr>
          <w:rFonts w:ascii="Calibri" w:eastAsia="Times New Roman" w:hAnsi="Calibri" w:cs="Calibri"/>
          <w:b/>
          <w:bCs/>
          <w:color w:val="000000"/>
          <w:sz w:val="26"/>
          <w:szCs w:val="26"/>
          <w:lang w:eastAsia="en-GB"/>
        </w:rPr>
        <w:t>anel</w:t>
      </w:r>
    </w:p>
    <w:p w14:paraId="3598721E" w14:textId="506F75DE" w:rsidR="00D5133A" w:rsidRPr="00D5133A" w:rsidRDefault="00D5133A" w:rsidP="00D5133A">
      <w:pPr>
        <w:numPr>
          <w:ilvl w:val="0"/>
          <w:numId w:val="15"/>
        </w:numPr>
        <w:spacing w:before="150" w:after="100" w:afterAutospacing="1"/>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t>This will be chaired by the Deputy Director, Social Care, or in his/her absence, the Director of Children's Service, Oxford Health</w:t>
      </w:r>
    </w:p>
    <w:p w14:paraId="345EC92F" w14:textId="5F0995D2" w:rsidR="00D5133A" w:rsidRPr="00D5133A" w:rsidRDefault="00D5133A" w:rsidP="00D5133A">
      <w:pPr>
        <w:numPr>
          <w:ilvl w:val="0"/>
          <w:numId w:val="15"/>
        </w:numPr>
        <w:spacing w:before="150" w:after="100" w:afterAutospacing="1"/>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t>See panel membership list above for attendees</w:t>
      </w:r>
    </w:p>
    <w:p w14:paraId="3358D336" w14:textId="15BEB4A0" w:rsidR="00D5133A" w:rsidRPr="00D5133A" w:rsidRDefault="00D5133A" w:rsidP="00D5133A">
      <w:pPr>
        <w:numPr>
          <w:ilvl w:val="0"/>
          <w:numId w:val="15"/>
        </w:numPr>
        <w:spacing w:before="150" w:after="100" w:afterAutospacing="1"/>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t xml:space="preserve">Each case will be presented by the </w:t>
      </w:r>
      <w:r>
        <w:rPr>
          <w:rFonts w:ascii="Calibri" w:eastAsia="Times New Roman" w:hAnsi="Calibri" w:cs="Calibri"/>
          <w:color w:val="000000"/>
          <w:sz w:val="27"/>
          <w:szCs w:val="27"/>
          <w:lang w:eastAsia="en-GB"/>
        </w:rPr>
        <w:t>practitioner(s)</w:t>
      </w:r>
      <w:r w:rsidRPr="00D5133A">
        <w:rPr>
          <w:rFonts w:ascii="Calibri" w:eastAsia="Times New Roman" w:hAnsi="Calibri" w:cs="Calibri"/>
          <w:color w:val="000000"/>
          <w:sz w:val="27"/>
          <w:szCs w:val="27"/>
          <w:lang w:eastAsia="en-GB"/>
        </w:rPr>
        <w:t xml:space="preserve"> wh</w:t>
      </w:r>
      <w:r>
        <w:rPr>
          <w:rFonts w:ascii="Calibri" w:eastAsia="Times New Roman" w:hAnsi="Calibri" w:cs="Calibri"/>
          <w:color w:val="000000"/>
          <w:sz w:val="27"/>
          <w:szCs w:val="27"/>
          <w:lang w:eastAsia="en-GB"/>
        </w:rPr>
        <w:t>o</w:t>
      </w:r>
      <w:r w:rsidRPr="00D5133A">
        <w:rPr>
          <w:rFonts w:ascii="Calibri" w:eastAsia="Times New Roman" w:hAnsi="Calibri" w:cs="Calibri"/>
          <w:color w:val="000000"/>
          <w:sz w:val="27"/>
          <w:szCs w:val="27"/>
          <w:lang w:eastAsia="en-GB"/>
        </w:rPr>
        <w:t xml:space="preserve"> requested the discussion/a representative of the respective core group/inter-agency planning group for the child</w:t>
      </w:r>
      <w:r>
        <w:rPr>
          <w:rFonts w:ascii="Calibri" w:eastAsia="Times New Roman" w:hAnsi="Calibri" w:cs="Calibri"/>
          <w:color w:val="000000"/>
          <w:sz w:val="27"/>
          <w:szCs w:val="27"/>
          <w:lang w:eastAsia="en-GB"/>
        </w:rPr>
        <w:t>. Groups of practitioners representing the range of agencies involved, are especially welcome</w:t>
      </w:r>
    </w:p>
    <w:p w14:paraId="226852CA" w14:textId="621D8CCD" w:rsidR="00D5133A" w:rsidRDefault="00D5133A" w:rsidP="00D5133A">
      <w:pPr>
        <w:numPr>
          <w:ilvl w:val="0"/>
          <w:numId w:val="15"/>
        </w:numPr>
        <w:spacing w:before="150" w:after="100" w:afterAutospacing="1"/>
        <w:rPr>
          <w:rFonts w:ascii="Calibri" w:eastAsia="Times New Roman" w:hAnsi="Calibri" w:cs="Calibri"/>
          <w:color w:val="000000"/>
          <w:sz w:val="27"/>
          <w:szCs w:val="27"/>
          <w:lang w:eastAsia="en-GB"/>
        </w:rPr>
      </w:pPr>
      <w:r>
        <w:rPr>
          <w:rFonts w:ascii="Calibri" w:eastAsia="Times New Roman" w:hAnsi="Calibri" w:cs="Calibri"/>
          <w:color w:val="000000"/>
          <w:sz w:val="27"/>
          <w:szCs w:val="27"/>
          <w:lang w:eastAsia="en-GB"/>
        </w:rPr>
        <w:t>The social care Team Manager will attend</w:t>
      </w:r>
    </w:p>
    <w:p w14:paraId="71AB8EDD" w14:textId="48593C3A" w:rsidR="00D5133A" w:rsidRPr="00D5133A" w:rsidRDefault="00D5133A" w:rsidP="00D5133A">
      <w:pPr>
        <w:numPr>
          <w:ilvl w:val="0"/>
          <w:numId w:val="15"/>
        </w:numPr>
        <w:spacing w:before="150" w:after="100" w:afterAutospacing="1"/>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t xml:space="preserve">Case discussions will be </w:t>
      </w:r>
      <w:proofErr w:type="spellStart"/>
      <w:r w:rsidRPr="00D5133A">
        <w:rPr>
          <w:rFonts w:ascii="Calibri" w:eastAsia="Times New Roman" w:hAnsi="Calibri" w:cs="Calibri"/>
          <w:color w:val="000000"/>
          <w:sz w:val="27"/>
          <w:szCs w:val="27"/>
          <w:lang w:eastAsia="en-GB"/>
        </w:rPr>
        <w:t>minuted</w:t>
      </w:r>
      <w:proofErr w:type="spellEnd"/>
      <w:r w:rsidRPr="00D5133A">
        <w:rPr>
          <w:rFonts w:ascii="Calibri" w:eastAsia="Times New Roman" w:hAnsi="Calibri" w:cs="Calibri"/>
          <w:color w:val="000000"/>
          <w:sz w:val="27"/>
          <w:szCs w:val="27"/>
          <w:lang w:eastAsia="en-GB"/>
        </w:rPr>
        <w:t xml:space="preserve"> (see template) by the administrator and signed by the chairperson</w:t>
      </w:r>
    </w:p>
    <w:p w14:paraId="5D94A2BA" w14:textId="71FE908E" w:rsidR="00D5133A" w:rsidRDefault="00D5133A" w:rsidP="00D5133A">
      <w:pPr>
        <w:numPr>
          <w:ilvl w:val="0"/>
          <w:numId w:val="15"/>
        </w:numPr>
        <w:spacing w:before="150" w:after="100" w:afterAutospacing="1"/>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t>Agenda slots will be kept for previous cases on which progress reports have been requested</w:t>
      </w:r>
    </w:p>
    <w:p w14:paraId="4DFC8176" w14:textId="72CE9A15" w:rsidR="00D5133A" w:rsidRPr="00D5133A" w:rsidRDefault="00D5133A" w:rsidP="00D5133A">
      <w:pPr>
        <w:numPr>
          <w:ilvl w:val="0"/>
          <w:numId w:val="15"/>
        </w:numPr>
        <w:spacing w:before="150" w:after="100" w:afterAutospacing="1"/>
        <w:rPr>
          <w:rFonts w:ascii="Calibri" w:eastAsia="Times New Roman" w:hAnsi="Calibri" w:cs="Calibri"/>
          <w:color w:val="000000"/>
          <w:sz w:val="27"/>
          <w:szCs w:val="27"/>
          <w:lang w:eastAsia="en-GB"/>
        </w:rPr>
      </w:pPr>
      <w:r>
        <w:rPr>
          <w:rFonts w:ascii="Calibri" w:eastAsia="Times New Roman" w:hAnsi="Calibri" w:cs="Calibri"/>
          <w:color w:val="000000"/>
          <w:sz w:val="27"/>
          <w:szCs w:val="27"/>
          <w:lang w:eastAsia="en-GB"/>
        </w:rPr>
        <w:t>An agenda slot can be used for strategic safeguarding items, as agreed by Panel members</w:t>
      </w:r>
    </w:p>
    <w:p w14:paraId="2A33AFE2" w14:textId="1C345F25" w:rsidR="00D5133A" w:rsidRPr="00D5133A" w:rsidRDefault="00D5133A" w:rsidP="00D5133A">
      <w:pPr>
        <w:outlineLvl w:val="3"/>
        <w:rPr>
          <w:rFonts w:ascii="Calibri" w:eastAsia="Times New Roman" w:hAnsi="Calibri" w:cs="Calibri"/>
          <w:b/>
          <w:bCs/>
          <w:color w:val="000000"/>
          <w:sz w:val="26"/>
          <w:szCs w:val="26"/>
          <w:lang w:eastAsia="en-GB"/>
        </w:rPr>
      </w:pPr>
      <w:r w:rsidRPr="00D5133A">
        <w:rPr>
          <w:rFonts w:ascii="Calibri" w:eastAsia="Times New Roman" w:hAnsi="Calibri" w:cs="Calibri"/>
          <w:b/>
          <w:bCs/>
          <w:color w:val="000000"/>
          <w:sz w:val="26"/>
          <w:szCs w:val="26"/>
          <w:lang w:eastAsia="en-GB"/>
        </w:rPr>
        <w:t xml:space="preserve">iv. Following the </w:t>
      </w:r>
      <w:r w:rsidR="00B028BC">
        <w:rPr>
          <w:rFonts w:ascii="Calibri" w:eastAsia="Times New Roman" w:hAnsi="Calibri" w:cs="Calibri"/>
          <w:b/>
          <w:bCs/>
          <w:color w:val="000000"/>
          <w:sz w:val="26"/>
          <w:szCs w:val="26"/>
          <w:lang w:eastAsia="en-GB"/>
        </w:rPr>
        <w:t>p</w:t>
      </w:r>
      <w:r w:rsidRPr="00D5133A">
        <w:rPr>
          <w:rFonts w:ascii="Calibri" w:eastAsia="Times New Roman" w:hAnsi="Calibri" w:cs="Calibri"/>
          <w:b/>
          <w:bCs/>
          <w:color w:val="000000"/>
          <w:sz w:val="26"/>
          <w:szCs w:val="26"/>
          <w:lang w:eastAsia="en-GB"/>
        </w:rPr>
        <w:t>anel</w:t>
      </w:r>
    </w:p>
    <w:p w14:paraId="1BEF43AD" w14:textId="77777777" w:rsidR="00D5133A" w:rsidRPr="00D5133A" w:rsidRDefault="00D5133A" w:rsidP="00D5133A">
      <w:pPr>
        <w:numPr>
          <w:ilvl w:val="0"/>
          <w:numId w:val="16"/>
        </w:numPr>
        <w:spacing w:before="150" w:after="100" w:afterAutospacing="1"/>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t>The administrator will ensure the minutes are received by the key worker or lead professional for the child;</w:t>
      </w:r>
    </w:p>
    <w:p w14:paraId="4503FDC4" w14:textId="3A74BF84" w:rsidR="00D5133A" w:rsidRPr="00D5133A" w:rsidRDefault="00D5133A" w:rsidP="00D5133A">
      <w:pPr>
        <w:numPr>
          <w:ilvl w:val="0"/>
          <w:numId w:val="16"/>
        </w:numPr>
        <w:spacing w:before="150" w:after="100" w:afterAutospacing="1"/>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t>The senior manager/agency representative who presented the case at panel is responsible for ensuring that the actions approved at the panel are brought back and acted on promptly by the core group/inter-agency planning group</w:t>
      </w:r>
    </w:p>
    <w:p w14:paraId="452B31B4" w14:textId="5BD194D5" w:rsidR="00D5133A" w:rsidRPr="00D5133A" w:rsidRDefault="00D5133A" w:rsidP="00D5133A">
      <w:pPr>
        <w:numPr>
          <w:ilvl w:val="0"/>
          <w:numId w:val="16"/>
        </w:numPr>
        <w:spacing w:before="150" w:after="100" w:afterAutospacing="1"/>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t xml:space="preserve">The </w:t>
      </w:r>
      <w:r>
        <w:rPr>
          <w:rFonts w:ascii="Calibri" w:eastAsia="Times New Roman" w:hAnsi="Calibri" w:cs="Calibri"/>
          <w:color w:val="000000"/>
          <w:sz w:val="27"/>
          <w:szCs w:val="27"/>
          <w:lang w:eastAsia="en-GB"/>
        </w:rPr>
        <w:t xml:space="preserve"> revised/additional elements to the child’s </w:t>
      </w:r>
      <w:r w:rsidRPr="00D5133A">
        <w:rPr>
          <w:rFonts w:ascii="Calibri" w:eastAsia="Times New Roman" w:hAnsi="Calibri" w:cs="Calibri"/>
          <w:color w:val="000000"/>
          <w:sz w:val="27"/>
          <w:szCs w:val="27"/>
          <w:lang w:eastAsia="en-GB"/>
        </w:rPr>
        <w:t>risk management plan</w:t>
      </w:r>
      <w:r>
        <w:rPr>
          <w:rFonts w:ascii="Calibri" w:eastAsia="Times New Roman" w:hAnsi="Calibri" w:cs="Calibri"/>
          <w:color w:val="000000"/>
          <w:sz w:val="27"/>
          <w:szCs w:val="27"/>
          <w:lang w:eastAsia="en-GB"/>
        </w:rPr>
        <w:t>, that have been recommended by the panel,</w:t>
      </w:r>
      <w:r w:rsidRPr="00D5133A">
        <w:rPr>
          <w:rFonts w:ascii="Calibri" w:eastAsia="Times New Roman" w:hAnsi="Calibri" w:cs="Calibri"/>
          <w:color w:val="000000"/>
          <w:sz w:val="27"/>
          <w:szCs w:val="27"/>
          <w:lang w:eastAsia="en-GB"/>
        </w:rPr>
        <w:t xml:space="preserve"> should be adopted and implemented by all agencies</w:t>
      </w:r>
    </w:p>
    <w:p w14:paraId="2185D9A9" w14:textId="12CF921A" w:rsidR="00D5133A" w:rsidRPr="00D5133A" w:rsidRDefault="00D5133A" w:rsidP="00D5133A">
      <w:pPr>
        <w:numPr>
          <w:ilvl w:val="0"/>
          <w:numId w:val="16"/>
        </w:numPr>
        <w:spacing w:before="150" w:after="100" w:afterAutospacing="1"/>
        <w:rPr>
          <w:rFonts w:ascii="Calibri" w:eastAsia="Times New Roman" w:hAnsi="Calibri" w:cs="Calibri"/>
          <w:color w:val="000000"/>
          <w:sz w:val="27"/>
          <w:szCs w:val="27"/>
          <w:lang w:eastAsia="en-GB"/>
        </w:rPr>
      </w:pPr>
      <w:r w:rsidRPr="00D5133A">
        <w:rPr>
          <w:rFonts w:ascii="Calibri" w:eastAsia="Times New Roman" w:hAnsi="Calibri" w:cs="Calibri"/>
          <w:color w:val="000000"/>
          <w:sz w:val="27"/>
          <w:szCs w:val="27"/>
          <w:lang w:eastAsia="en-GB"/>
        </w:rPr>
        <w:t>The c</w:t>
      </w:r>
      <w:r>
        <w:rPr>
          <w:rFonts w:ascii="Calibri" w:eastAsia="Times New Roman" w:hAnsi="Calibri" w:cs="Calibri"/>
          <w:color w:val="000000"/>
          <w:sz w:val="27"/>
          <w:szCs w:val="27"/>
          <w:lang w:eastAsia="en-GB"/>
        </w:rPr>
        <w:t>hild’s</w:t>
      </w:r>
      <w:r w:rsidRPr="00D5133A">
        <w:rPr>
          <w:rFonts w:ascii="Calibri" w:eastAsia="Times New Roman" w:hAnsi="Calibri" w:cs="Calibri"/>
          <w:color w:val="000000"/>
          <w:sz w:val="27"/>
          <w:szCs w:val="27"/>
          <w:lang w:eastAsia="en-GB"/>
        </w:rPr>
        <w:t xml:space="preserve"> plan should be revised to reflect actions recommended at the panel and reported to the </w:t>
      </w:r>
      <w:hyperlink r:id="rId25" w:tgtFrame="_blank" w:history="1">
        <w:r w:rsidRPr="00D5133A">
          <w:rPr>
            <w:rFonts w:ascii="Calibri" w:eastAsia="Times New Roman" w:hAnsi="Calibri" w:cs="Calibri"/>
            <w:b/>
            <w:bCs/>
            <w:color w:val="253E8A"/>
            <w:sz w:val="27"/>
            <w:szCs w:val="27"/>
            <w:u w:val="single"/>
            <w:lang w:eastAsia="en-GB"/>
          </w:rPr>
          <w:t>Independent Reviewing Officer</w:t>
        </w:r>
      </w:hyperlink>
      <w:r w:rsidRPr="00D5133A">
        <w:rPr>
          <w:rFonts w:ascii="Calibri" w:eastAsia="Times New Roman" w:hAnsi="Calibri" w:cs="Calibri"/>
          <w:color w:val="000000"/>
          <w:sz w:val="27"/>
          <w:szCs w:val="27"/>
          <w:lang w:eastAsia="en-GB"/>
        </w:rPr>
        <w:t>/independent chairperson (where appropriate)</w:t>
      </w:r>
      <w:r w:rsidRPr="00D5133A" w:rsidDel="00D5133A">
        <w:rPr>
          <w:rFonts w:ascii="Calibri" w:eastAsia="Times New Roman" w:hAnsi="Calibri" w:cs="Calibri"/>
          <w:color w:val="000000"/>
          <w:sz w:val="27"/>
          <w:szCs w:val="27"/>
          <w:lang w:eastAsia="en-GB"/>
        </w:rPr>
        <w:t xml:space="preserve"> </w:t>
      </w:r>
      <w:r w:rsidRPr="00D5133A">
        <w:rPr>
          <w:rFonts w:ascii="Calibri" w:eastAsia="Times New Roman" w:hAnsi="Calibri" w:cs="Calibri"/>
          <w:color w:val="000000"/>
          <w:sz w:val="27"/>
          <w:szCs w:val="27"/>
          <w:lang w:eastAsia="en-GB"/>
        </w:rPr>
        <w:t>Arrangements for reporting back to the panel to be adhered to</w:t>
      </w:r>
    </w:p>
    <w:p w14:paraId="630B7A15" w14:textId="77777777" w:rsidR="00D5133A" w:rsidRPr="00504E43" w:rsidRDefault="00D5133A"/>
    <w:sectPr w:rsidR="00D5133A" w:rsidRPr="00504E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49AC5" w14:textId="77777777" w:rsidR="000F14A8" w:rsidRDefault="000F14A8" w:rsidP="00F775A2">
      <w:r>
        <w:separator/>
      </w:r>
    </w:p>
  </w:endnote>
  <w:endnote w:type="continuationSeparator" w:id="0">
    <w:p w14:paraId="3132952C" w14:textId="77777777" w:rsidR="000F14A8" w:rsidRDefault="000F14A8" w:rsidP="00F77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29237" w14:textId="77777777" w:rsidR="000F14A8" w:rsidRDefault="000F14A8" w:rsidP="00F775A2">
      <w:r>
        <w:separator/>
      </w:r>
    </w:p>
  </w:footnote>
  <w:footnote w:type="continuationSeparator" w:id="0">
    <w:p w14:paraId="00216D4D" w14:textId="77777777" w:rsidR="000F14A8" w:rsidRDefault="000F14A8" w:rsidP="00F775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2439"/>
    <w:multiLevelType w:val="multilevel"/>
    <w:tmpl w:val="9154C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C5C47"/>
    <w:multiLevelType w:val="multilevel"/>
    <w:tmpl w:val="B67C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964E8A"/>
    <w:multiLevelType w:val="multilevel"/>
    <w:tmpl w:val="B38A6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7311E"/>
    <w:multiLevelType w:val="multilevel"/>
    <w:tmpl w:val="018E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F632FF"/>
    <w:multiLevelType w:val="multilevel"/>
    <w:tmpl w:val="186E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733BF5"/>
    <w:multiLevelType w:val="multilevel"/>
    <w:tmpl w:val="DE283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522B42"/>
    <w:multiLevelType w:val="multilevel"/>
    <w:tmpl w:val="9C7E3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FB7B6D"/>
    <w:multiLevelType w:val="multilevel"/>
    <w:tmpl w:val="D27C8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3E0450"/>
    <w:multiLevelType w:val="multilevel"/>
    <w:tmpl w:val="561E4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ED042F"/>
    <w:multiLevelType w:val="multilevel"/>
    <w:tmpl w:val="5B58A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C041CA"/>
    <w:multiLevelType w:val="multilevel"/>
    <w:tmpl w:val="3E8E1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A013D6"/>
    <w:multiLevelType w:val="multilevel"/>
    <w:tmpl w:val="5E7657B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6B2E3D"/>
    <w:multiLevelType w:val="multilevel"/>
    <w:tmpl w:val="0F662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BE7A61"/>
    <w:multiLevelType w:val="multilevel"/>
    <w:tmpl w:val="7722F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013053"/>
    <w:multiLevelType w:val="multilevel"/>
    <w:tmpl w:val="1DDA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0C450F"/>
    <w:multiLevelType w:val="multilevel"/>
    <w:tmpl w:val="2256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4"/>
  </w:num>
  <w:num w:numId="3">
    <w:abstractNumId w:val="10"/>
  </w:num>
  <w:num w:numId="4">
    <w:abstractNumId w:val="11"/>
  </w:num>
  <w:num w:numId="5">
    <w:abstractNumId w:val="8"/>
  </w:num>
  <w:num w:numId="6">
    <w:abstractNumId w:val="4"/>
  </w:num>
  <w:num w:numId="7">
    <w:abstractNumId w:val="6"/>
  </w:num>
  <w:num w:numId="8">
    <w:abstractNumId w:val="0"/>
  </w:num>
  <w:num w:numId="9">
    <w:abstractNumId w:val="2"/>
  </w:num>
  <w:num w:numId="10">
    <w:abstractNumId w:val="1"/>
  </w:num>
  <w:num w:numId="11">
    <w:abstractNumId w:val="12"/>
  </w:num>
  <w:num w:numId="12">
    <w:abstractNumId w:val="7"/>
  </w:num>
  <w:num w:numId="13">
    <w:abstractNumId w:val="13"/>
  </w:num>
  <w:num w:numId="14">
    <w:abstractNumId w:val="3"/>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33A"/>
    <w:rsid w:val="000B4310"/>
    <w:rsid w:val="000F14A8"/>
    <w:rsid w:val="004000D7"/>
    <w:rsid w:val="00504E43"/>
    <w:rsid w:val="006157E4"/>
    <w:rsid w:val="007653A9"/>
    <w:rsid w:val="007908F4"/>
    <w:rsid w:val="00B028BC"/>
    <w:rsid w:val="00B931F7"/>
    <w:rsid w:val="00BC450E"/>
    <w:rsid w:val="00BD1E87"/>
    <w:rsid w:val="00C40B79"/>
    <w:rsid w:val="00CD3331"/>
    <w:rsid w:val="00D07AF9"/>
    <w:rsid w:val="00D5133A"/>
    <w:rsid w:val="00E1223A"/>
    <w:rsid w:val="00EB5414"/>
    <w:rsid w:val="00F23ABC"/>
    <w:rsid w:val="00F2743E"/>
    <w:rsid w:val="00F775A2"/>
    <w:rsid w:val="00FD0ED2"/>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CCA24"/>
  <w15:chartTrackingRefBased/>
  <w15:docId w15:val="{99C2747D-17EC-4CFA-84DB-527FD485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3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33A"/>
    <w:rPr>
      <w:rFonts w:ascii="Segoe UI" w:hAnsi="Segoe UI" w:cs="Segoe UI"/>
      <w:sz w:val="18"/>
      <w:szCs w:val="18"/>
    </w:rPr>
  </w:style>
  <w:style w:type="character" w:styleId="CommentReference">
    <w:name w:val="annotation reference"/>
    <w:basedOn w:val="DefaultParagraphFont"/>
    <w:uiPriority w:val="99"/>
    <w:semiHidden/>
    <w:unhideWhenUsed/>
    <w:rsid w:val="00D5133A"/>
    <w:rPr>
      <w:sz w:val="16"/>
      <w:szCs w:val="16"/>
    </w:rPr>
  </w:style>
  <w:style w:type="paragraph" w:styleId="CommentText">
    <w:name w:val="annotation text"/>
    <w:basedOn w:val="Normal"/>
    <w:link w:val="CommentTextChar"/>
    <w:uiPriority w:val="99"/>
    <w:semiHidden/>
    <w:unhideWhenUsed/>
    <w:rsid w:val="00D5133A"/>
    <w:rPr>
      <w:sz w:val="20"/>
      <w:szCs w:val="20"/>
    </w:rPr>
  </w:style>
  <w:style w:type="character" w:customStyle="1" w:styleId="CommentTextChar">
    <w:name w:val="Comment Text Char"/>
    <w:basedOn w:val="DefaultParagraphFont"/>
    <w:link w:val="CommentText"/>
    <w:uiPriority w:val="99"/>
    <w:semiHidden/>
    <w:rsid w:val="00D5133A"/>
    <w:rPr>
      <w:sz w:val="20"/>
      <w:szCs w:val="20"/>
    </w:rPr>
  </w:style>
  <w:style w:type="paragraph" w:styleId="CommentSubject">
    <w:name w:val="annotation subject"/>
    <w:basedOn w:val="CommentText"/>
    <w:next w:val="CommentText"/>
    <w:link w:val="CommentSubjectChar"/>
    <w:uiPriority w:val="99"/>
    <w:semiHidden/>
    <w:unhideWhenUsed/>
    <w:rsid w:val="00D5133A"/>
    <w:rPr>
      <w:b/>
      <w:bCs/>
    </w:rPr>
  </w:style>
  <w:style w:type="character" w:customStyle="1" w:styleId="CommentSubjectChar">
    <w:name w:val="Comment Subject Char"/>
    <w:basedOn w:val="CommentTextChar"/>
    <w:link w:val="CommentSubject"/>
    <w:uiPriority w:val="99"/>
    <w:semiHidden/>
    <w:rsid w:val="00D5133A"/>
    <w:rPr>
      <w:b/>
      <w:bCs/>
      <w:sz w:val="20"/>
      <w:szCs w:val="20"/>
    </w:rPr>
  </w:style>
  <w:style w:type="paragraph" w:styleId="Header">
    <w:name w:val="header"/>
    <w:basedOn w:val="Normal"/>
    <w:link w:val="HeaderChar"/>
    <w:uiPriority w:val="99"/>
    <w:unhideWhenUsed/>
    <w:rsid w:val="00F775A2"/>
    <w:pPr>
      <w:tabs>
        <w:tab w:val="center" w:pos="4513"/>
        <w:tab w:val="right" w:pos="9026"/>
      </w:tabs>
    </w:pPr>
  </w:style>
  <w:style w:type="character" w:customStyle="1" w:styleId="HeaderChar">
    <w:name w:val="Header Char"/>
    <w:basedOn w:val="DefaultParagraphFont"/>
    <w:link w:val="Header"/>
    <w:uiPriority w:val="99"/>
    <w:rsid w:val="00F775A2"/>
  </w:style>
  <w:style w:type="paragraph" w:styleId="Footer">
    <w:name w:val="footer"/>
    <w:basedOn w:val="Normal"/>
    <w:link w:val="FooterChar"/>
    <w:uiPriority w:val="99"/>
    <w:unhideWhenUsed/>
    <w:rsid w:val="00F775A2"/>
    <w:pPr>
      <w:tabs>
        <w:tab w:val="center" w:pos="4513"/>
        <w:tab w:val="right" w:pos="9026"/>
      </w:tabs>
    </w:pPr>
  </w:style>
  <w:style w:type="character" w:customStyle="1" w:styleId="FooterChar">
    <w:name w:val="Footer Char"/>
    <w:basedOn w:val="DefaultParagraphFont"/>
    <w:link w:val="Footer"/>
    <w:uiPriority w:val="99"/>
    <w:rsid w:val="00F77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49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xfordshirescb.proceduresonline.com/p_complex_case_pan.html?zoom_highlight=complex+case" TargetMode="External"/><Relationship Id="rId13" Type="http://schemas.openxmlformats.org/officeDocument/2006/relationships/hyperlink" Target="https://oxfordshirescb.proceduresonline.com/p_complex_case_pan.html?zoom_highlight=complex+case" TargetMode="External"/><Relationship Id="rId18" Type="http://schemas.openxmlformats.org/officeDocument/2006/relationships/hyperlink" Target="https://oxfordshirescb.proceduresonline.com/p_complex_case_pan.html?zoom_highlight=complex+cas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trixresources.proceduresonline.com/nat_key/keywords/looked_aft_review.html" TargetMode="External"/><Relationship Id="rId7" Type="http://schemas.openxmlformats.org/officeDocument/2006/relationships/hyperlink" Target="https://oxfordshirescb.proceduresonline.com/p_complex_case_pan.html?zoom_highlight=complex+case" TargetMode="External"/><Relationship Id="rId12" Type="http://schemas.openxmlformats.org/officeDocument/2006/relationships/hyperlink" Target="https://oxfordshirescb.proceduresonline.com/p_complex_case_pan.html?zoom_highlight=complex+case" TargetMode="External"/><Relationship Id="rId17" Type="http://schemas.openxmlformats.org/officeDocument/2006/relationships/hyperlink" Target="https://oxfordshirescb.proceduresonline.com/p_complex_case_pan.html?zoom_highlight=complex+case" TargetMode="External"/><Relationship Id="rId25" Type="http://schemas.openxmlformats.org/officeDocument/2006/relationships/hyperlink" Target="http://trixresources.proceduresonline.com/nat_key/keywords/indep_reviewing_officer.html" TargetMode="External"/><Relationship Id="rId2" Type="http://schemas.openxmlformats.org/officeDocument/2006/relationships/styles" Target="styles.xml"/><Relationship Id="rId16" Type="http://schemas.openxmlformats.org/officeDocument/2006/relationships/hyperlink" Target="https://oxfordshirescb.proceduresonline.com/p_complex_case_pan.html?zoom_highlight=complex+case" TargetMode="External"/><Relationship Id="rId20" Type="http://schemas.openxmlformats.org/officeDocument/2006/relationships/hyperlink" Target="http://trixresources.proceduresonline.com/nat_key/keywords/child_prot_conf.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xfordshirescb.proceduresonline.com/p_complex_case_pan.html?zoom_highlight=complex+case" TargetMode="External"/><Relationship Id="rId24" Type="http://schemas.openxmlformats.org/officeDocument/2006/relationships/hyperlink" Target="http://trixresources.proceduresonline.com/nat_key/keywords/significant_harm.html" TargetMode="External"/><Relationship Id="rId5" Type="http://schemas.openxmlformats.org/officeDocument/2006/relationships/footnotes" Target="footnotes.xml"/><Relationship Id="rId15" Type="http://schemas.openxmlformats.org/officeDocument/2006/relationships/hyperlink" Target="https://oxfordshirescb.proceduresonline.com/p_complex_case_pan.html?zoom_highlight=complex+case" TargetMode="External"/><Relationship Id="rId23" Type="http://schemas.openxmlformats.org/officeDocument/2006/relationships/hyperlink" Target="http://trixresources.proceduresonline.com/nat_key/keywords/care_order.html" TargetMode="External"/><Relationship Id="rId10" Type="http://schemas.openxmlformats.org/officeDocument/2006/relationships/hyperlink" Target="https://oxfordshirescb.proceduresonline.com/p_complex_case_pan.html?zoom_highlight=complex+case" TargetMode="External"/><Relationship Id="rId19" Type="http://schemas.openxmlformats.org/officeDocument/2006/relationships/hyperlink" Target="http://trixresources.proceduresonline.com/nat_key/keywords/core_group.html" TargetMode="External"/><Relationship Id="rId4" Type="http://schemas.openxmlformats.org/officeDocument/2006/relationships/webSettings" Target="webSettings.xml"/><Relationship Id="rId9" Type="http://schemas.openxmlformats.org/officeDocument/2006/relationships/hyperlink" Target="https://oxfordshirescb.proceduresonline.com/p_complex_case_pan.html?zoom_highlight=complex+case" TargetMode="External"/><Relationship Id="rId14" Type="http://schemas.openxmlformats.org/officeDocument/2006/relationships/hyperlink" Target="https://oxfordshirescb.proceduresonline.com/p_complex_case_pan.html?zoom_highlight=complex+case" TargetMode="External"/><Relationship Id="rId22" Type="http://schemas.openxmlformats.org/officeDocument/2006/relationships/hyperlink" Target="http://trixresources.proceduresonline.com/nat_key/keywords/child_protection_plan.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2505</Words>
  <Characters>14281</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Kinnell, Carole - CEF</dc:creator>
  <cp:keywords/>
  <dc:description/>
  <cp:lastModifiedBy>Kinnell, Carole - CEF</cp:lastModifiedBy>
  <cp:revision>2</cp:revision>
  <dcterms:created xsi:type="dcterms:W3CDTF">2021-04-08T14:51:00Z</dcterms:created>
  <dcterms:modified xsi:type="dcterms:W3CDTF">2021-04-08T14:51:00Z</dcterms:modified>
</cp:coreProperties>
</file>